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junio de 2014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Con fecha 13 de mayo de 2014, ha sido notificada a la recurrente doña María Teresa Díaz Ortega la STC 66/2014, de 5 de mayo, recaída en el recurso de amparo núm. 3256-2012, promovida por la misma en su propio nombre y representación contra la Sentencia núm. 246/2012, de 28 de marzo, del Tribunal Superior de Justicia de Madrid, Sala de lo Contencioso-Administrativo, Sección Octava.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Con fecha 16 de mayo de 2014, ha tenido entrada en este Tribunal un escrito de doña María Teresa Díaz Ortega, que actúa en su propio nombre y representación, solicitando la rectificación de la Sentencia en el sentido de que donde se expresa “en el procedimiento de derechos fundamentales núm. 1-2001” se indique “en el procedimiento de derechos fundamentales núm. 1-2011”.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art. 267.3 de la Ley Orgánica del Poder Judicial, aplicable supletoriamente a esta jurisdicción constitucional (ex art. 80 de la Ley Orgánica del Tribunal Constitucional), determina que los errores materiales manifiestos y los aritméticos en que incurran las resoluciones judiciales podrán ser rectificados en cualquier momento.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Rectificar el error material en el sentido de que donde se expresa “en el procedimiento de derechos fundamentales núm. 1-2001, debe figurar “en el procedimiento de derechos fundamentales núm. 1-2011”.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junio de dos mil catorce.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