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17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la Sección Primera de la Sala de lo Contencioso-Administrativo del Tribunal Supremo dictado el 21 de noviembre de 2013 en el recurso de casación núm. 1155-2013 interpuesto contra Auto de la Sección Tercera de la Sala de lo Contencioso-Administrativo de la Audiencia Nacional de fecha 22 de enero de 2013 dictado en el recurso contencioso-administrativo núm. 1-2012.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junio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21 de noviembre de 2013 en el recurso de casación núm.1155-2013, resolución recurrida en el presente recurso de amparo núm. 948-2014.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21 de noviembre de 2013 en el recurso de casación núm. 1155-2013 que ha sido impugnado en el presente recurso de amparo núm. 948-2014.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948-2014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