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23 de junio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23 de octubre de 2013, el Consejo Andaluz de Colegios de Procuradores representado por el Procurador de los Tribunales don Manuel Infante Sánchez, interpuso recurso de amparo contra Auto y Sentencia dictada por la Sección Primera de la Sala de lo Contencioso-Administrativo del Tribunal Superior de Justicia de Andalucía en recurso núm. 1160-2005.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Sr. Infante Sánchez, por escrito presentado el 25 de marzo de 2014, estando el amparo pendiente de resolver sobre su admisión o inadmisión, manifiesta que desiste del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31 de marzo de 2014 se dio traslado al Ministerio Fiscal para que alegara lo que estimara oportuno en relación con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dictamen que tuvo entrada en el Tribunal el 30 de abril de 2014, no se opuso a la aprobación del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recurso de amparo figura la del desistimiento, prevista en el artículo 86.1 de la Ley Orgánica de este Tribunal (LOTC), y a la que es de aplicación supletoria la legislación procesal ordinaria (art. 80 LOTC), que la recoge en los artículos 19.1 y 20.2 y 3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fórmula y decisión de la parte recurrente aparece revestida de los requisitos legales. Por otro lado, no se aprecia perjuicio de parte ni daño para el interés general o público. Es procedente, pues, sancionar afirmativamente esa voluntad de desistir.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recurso de amparo a Consejo Andaluz de Colegios de Procuradores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