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7 de julio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y don Santiago Martínez-Vares García,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5823-2012 y 5824-2012, acumulados y promovidos por don Norbert Kohler, representado por la Procuradora de los Tribunales doña Virginia Sánchez de León Herencia y asistido por el Letrado don César García-Vidal Escola, contra dos Autos de la Sección Segunda de la Sala de lo Penal de la Audiencia Nacional, ambos de 23 de julio de 2012, que desestimaron los incidentes de nulidad de actuaciones frente a los Autos de 6 de octubre de 2009 y de 1 de febrero de 2010, dictados en procedimientos de orden europea de detención y entrega, núms. 173-2009 y 234-2009, provenientes del Juzgado Central de Instrucción núm. 3 y que acordaron la ampliación de la entrega del demandante a las autoridades judiciales de la República Checa. Ha intervenido el Ministerio Fiscal.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dos escritos presentados en el decanato de los juzgados de primera instancia de Madrid el día 9 de octubre de 2012, don Norbert Kohler, representado por la Procuradora de los Tribunales doña Virginia Sánchez de León Herencia y asistido por el Letrado don César García-Vidal Escola, interpuso sendos recursos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Auto de 7 de febrero de 2003, la Sección Segunda de la Sala de lo Penal de la Audiencia Nacional declaró procedente la extradición del demandante a la República Checa, para enjuiciamiento de los hechos y delitos contenidos en la orden de detención emitida por las autoridades judiciales checas, entrega que se hizo efectiva el 10 de agosto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Central de Instrucción núm. 3 recibió tres comunicaciones, dos en el año 2009 y una en el año 2011, relativas a la ampliación de orden europea de detención y entrega emitidas por las autoridades judiciales de la República Checa respecto del demandante, las cuales dieron lugar a tres procedimientos distintos (núms. 234-2009, 242-2009 y 62-2011), para obtener declaración de consentimiento complementario para procesamiento penal por hechos constitutivos de diferentes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comunicaciones enviadas por las autoridades judiciales checas se hacía constar que el demandante, según información de su Letrada en la República Checa, se fue a España donde su paradero actual es desconocido, no obstante lo cual se hacía constar la dirección donde recibía el correo su Letrado en España, don César García-Vidal Escola. El Juzgado Central de Instrucción acordó elevar los procedimientos a la Sección Segunda de la Sala de lo Penal para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Segunda de la Sala de lo Penal de la Audiencia Nacional, mandó librar oficios al Colegio de Abogados de Madrid para la designación de Letrados del turno de oficio que asistieran al demandante en los distintos procedimientos (núms. 173-2009, 331-2009 y 80-2011), Letrados que fueron designados y presentaron escritos de oposición a la ampliación de la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Sección Segunda de la Sala de lo Penal de la Audiencia Nacional dictó Autos de 6 de octubre de 2009, de 1 de febrero de 2010 y de 14 de junio de 2011, en los que acordó acceder a la ampliación de la entrega solicitada por las autoridades judiciales de la República Checa.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se personó en los tres procedimientos en el año 2012, por medio de Procuradora y asistido del Letrado en España nombrado en las comunicaciones enviadas por las autoridades judiciales checas, y planteó tres incidentes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incidente contra el Auto de 14 de junio de 2011 (rollo de Sala 80-2011), mediante escrito presentado el 8 de mayo de 2012, por vulneración del derecho a la tutela judicial efectiva, a la defensa y a la asistencia letrada (art. 24.1 y 2 CE), al constar en las solicitudes de ampliación de entrega la indicación del nombre y domicilio del Letrado por él designado, sin que fuera intentada comunicación alguna en esa dirección y sin que la actuación realizada por el Letrado designado de oficio fuera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 la Sala de lo Penal de la Audiencia Nacional, mediante Auto de 14 de junio de 2012, estimó el incidente al declarar vulnerado el derecho de defensa por “no ser requerido el informe del letrado que había designado el reclamado”, decretando la nulidad de actuaciones y retrotrayendo el trámite al momento de dar traslado de la solicitud de ampliación al Letrado designado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y tercer incidente contra los Autos de 6 de octubre de 2009 y 1 de febrero de 2010, mediante escritos de 20 de junio de 2012, en los cuales el demandante reiteró la vulneración del derecho a la tutela judicial efectiva, a la defensa y a la asistencia letrada (art. 24.1 y 2 CE), con referencia expresa al pronunciamiento antecedente de la misma Sección Segunda, de 14 de junio de 2012, que estimó el primer incidente de nulidad de actuaciones en otro procedimiento con identidad de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 la Sala de lo Penal de la Audiencia Nacional, mediante dos Autos de 23 de julio de 2012, desestimó los incidentes al encubrir la pretensión recurrir pronunciamientos firmes, sin que haya existido indefensión al haber estado asistido el demandante por Letrado de oficio designado a instancia de la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demandas de amparo se fundamentan con idénticos motivos. El primer motivo de amparo atribuye a los Autos que desestimaron los incidentes de nulidad de actuaciones, de 23 de julio de 2012, la vulneración del principio de igualdad en la aplicación de la ley (art. 14 CE), al haber dictado la misma Sección de la Audiencia Nacional, en el rollo de Sala 80-2011, Auto de 14 de junio de 2012 que estimó el incidente de nulidad de actuaciones frente al Auto que acordó la ampliación de la entrega del demandante en otro procedimiento idéntico, al no haber requerido informe del Letrado por él designado, hecho determinante de la vulneración planteada de forma subsidiaria, derecho a la tutela judicial efectiva sin indefensión (art. 24.1 CE), al no estar motivado el distinto criterio que llevó al órgano judicial a desestimar los incidentes pese a la identidad de hechos respecto del incidente anterior que sí fue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atribuye, a los Autos de 6 de octubre de 2009 y de 1 de febrero de 2010, la vulneración del derecho a la tutela judicial efectiva, a la defensa y a la asistencia letrada (art. 24.1 y 2 CE), al no haber podido ejercer el demandante su derecho de defensa de manera efectiva mediante el Letrado designado por su libre elección, derecho de defensa que no ha quedado garantizado mediante la designación formal de un Letrado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providencias de 8 de abril de 2013, acordó admitir a trámite las demandas de amparo y, en aplicación de lo dispuesto en el art. 51 de la Ley Orgánica del Tribunal Constitucional (LOTC), dirigir atentas comunicaciones a la Sala de lo Penal de la Audiencia Nacional para la remisión de certificación o fotocopia adverada de las actuaciones y emplazamiento a quienes hubieran sido parte en el procedimiento, a excepción del demandante de amparo, para poder comparecer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diligencias de ordenación de la Secretaría de Justicia de la Sala Primera de este Tribunal 8 y 27 de mayo de 2013 se acordó dar vista de las actuaciones recibidas al Ministerio Fiscal y a las partes personadas,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escritos registrados el 18 de junio de 2013, solicitó la estimación de las demandas de amparo, al no haber intentado la Audiencia Nacional la localización del demandante a través del domicilio designado en la orden europea de detención y entrega remitida por las autoridades de la República Checa, domicilio del Letrado de su libre designación en España, actuación que vulneró; el derecho a la tutela judicial efectiva sin indefensión (art. 24.1 CE), con invocación de la STC 181/2011, al no haber otorgado a la persona a la que se refiere la solicitud la posibilidad de ser escuchado y alegar los motivos de denegación que fueran de su interés; y del derecho a la asistencia letrada (art. 24.2 CE), mediante la asistencia del Letrado de su libre elección, sin que la designación de Letrado de oficio haya garantizado de manera efectiva el derecho de defensa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principio de igualdad en la aplicación de la ley no puede ser admitida al aportar como término de comparación solo una resolución judicial antecedente del mismo órgano judicial, sin que concurra el requisito de alteridad, no obstante el análisis de la queja debe ser realizado desde la perspectiva del derecho a la tutela judicial efectiva (art. 24.1 CE), al estar ante resoluciones judiciales del mismo órgano judicial que resuelven la misma pretensión respecto del mismo demandante, resoluciones que son contradictorias y no están justificadas al haber admitido en una resolución judicial antecedente el incidente de nulidad de actuaciones a fin de dar traslado, al Letrado designado por el demandante, de las actuaciones para efectuar alegaciones, criterio no mantenido en los Autos posteriores, contradicción no justificada en debida forma y que lleva a apreciar arbitrariedad causante de indefensión. Por ello solicita el Ministerio Fiscal, también, el otorgamiento del amparo por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mediante escritos presentados ante el Registro General de este Tribunal los días 13 y 26 de junio de 2013, presentó alegaciones mediante las que remitía al contenido de las expresadas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julio de 2014 se señaló para deliberación votación y fallo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demandas de amparo impugnan los Autos de la Sección Segunda de la Sala de lo Penal de la Audiencia Nacional de 6 de octubre de 2009 y de 1 de febrero de 2010, que acordaron acceder a la ampliación de la entrega del demandante a las autoridades judiciales de la República Checa, y los Autos de 23 de julio de 2012 que desestimaron los incidentes de nulidad de actuaciones contra las resoluciones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de amparo atribuye a los Autos que desestimaron los incidentes de nulidad de actuaciones, de 23 de julio de 2012, la vulneración del principio de igualdad en la aplicación de la ley (art. 14 CE), al haber dictado la misma Sección de la Audiencia Nacional, en el rollo de Sala 80-2011, Auto de 14 de junio de 2012 que estimó el incidente de nulidad de actuaciones frente al Auto que acordó la ampliación de la entrega del demandante, al no haber requerido informe del Letrado por él designado, hecho determinante de la vulneración también planteada de forma subsidiaria, derecho a la tutela judicial efectiva (art. 24.1 CE), al no estar motivado el distinto criterio que llevó al órgano judicial a desestimar los incidentes, pese a la identidad de hechos respecto del incidente anterior que sí fue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atribuye vulneración del derecho a la tutela judicial efectiva sin indefensión, a la defensa y a la asistencia letrada (art. 24.1 y 2 CE), al no haber podido ejercer el demandante su derecho de defensa de manera efectiva, mediante el Letrado designado por su libre elección, derecho de defensa que no ha quedado garantizado con la designación formal de Letrados de oficio. El Ministerio Fiscal se adhiere a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orden de análisis de las vulneraciones precisa concretar el carácter de la lesión atribuida a los Autos que desestimaron los incidentes de nulidad de actuaciones, al diferenciar la doctrina de este Tribunal entre la lesión atribuida al incidente de nulidad de actuaciones por no reparar los derechos alegados, supuesto en que el incidente es un instrumento necesario para el agotamiento de la vía judicial previa pero no determinante de una lesión adicional a la que en él se denunciaba, de la lesión atribuida al auto o providencia que al resolver el incidente causa una vulneración autónoma con ocasión de la nulidad solicitada, siendo en este último supuesto cuando la resolución judicial adquiere dimensión constitucional en orden a la denuncia de una lesión diferenciada en amparo (por todas STC 169/2013, de 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hecho de la presente Sentencia se deja constancia de la tramitación, ante la misma Sección de la Audiencia Nacional y en tres procedimientos distintos, de tres solicitudes de ampliación de orden europea de detención y entrega, cursadas por las autoridades judiciales de la República Checa, para enjuiciar a quien ya fue entregado por las autoridades judiciales españolas por hechos distintos a aquellos que motivaron la entrega inicial, solicitudes en las que se hacía constar el paradero desconocido del reclamado y, también, el nombre y la dirección donde recibía el correo su Letrado por él designado en España, procedimientos en los que se designó al demandante, en cada uno de ellos, un Letrado de oficio para defender sus derechos. Tras dictar los autos que pusieron fin a los procedimientos y que admitieron las ampliaciones de entrega, el demandante se personó en ellos mediante Procuradora y asistido por el Letrado mencionado en la documentación remitida por las autoridades judiciales de la República Checa, e interesó la nulidad de actuaciones por vulneración del derecho de defensa al no haber podido ser asistido por el Letrado de su libre designación, pretensión estimada en el primer procedimiento en que se solicitó, al considerar vulnerado el derecho de defensa del demandante por no ser requerido informe del Letrado por él designado. El demandante, en los incidentes de nulidad instados en los otros dos procedimientos frente a la misma Sección, hizo constar el pronunciamiento antecedente favorable a su pretensión, sin referencia alguna en los Autos que desestimaron esos incidentes al precedente invocado y sin dar una motivación suficiente del distinto criterio empleado para resolver idéntica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infiere que la vulneración atribuida a los Autos que desestimaron los incidentes de nulidad de actuaciones, es autónoma y no trae causa de la atribuida a los Autos que admitieron la ampliación de entrega del demandante a las autoridades judiciales de la República Checa, al tener como premisa fáctica el pronunciamiento emitido por la misma Sección que estimó el primer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autónomo de la vulneración atribuye a los Autos recurridos dimensión constitucional cuyo análisis, en el presente caso, debe anteponerse a la otra vulneración atribuida a las resoluciones judiciales antecedentes, para entender correctamente agotada la vía judicial previa de forma consecuente con el carácter subsidiario del recurso de amparo. En efecto, pese a la clara identidad existente entre los tres procedimientos judiciales tramitados ante la misma Sección de la Sala de lo Penal de la Audiencia Nacional, concluyeron de manera diferente al seguir criterios distintos los Autos dictados en resolución de los incidentes de nulidad de actuaciones, Autos cuya finalidad es agotar la vía judicial previa por el carácter subsidiario del recurso de amparo [art. 44.1 a) de la Ley Orgánica del Tribunal Constitucional] y a los cuales se atribuye vulneración específica cuya posible existencia, de ser estimada, podría llevar implícita la necesidad de nuevo pronunciamiento que colmara las exigencias de respuesta motivada en justificación del distinto criterio empleado por resoluciones judiciales próximas en el tiempo y que permitiría, en definitiva, considerar correctamente agotada la vía judicial previa al no ser susceptible de recurso alguno el Auto que resuelve el incidente de nulidad de actuaciones (art. 241.2 de la Ley Orgánica del Poder Judicial), lo cual no sería posible de ser antepuesto el análisis de la vulneración atribuida a las resoluciones judiciales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lesión del derecho a la igualdad en la aplicación de la ley (art. 14 CE) exige, en primer lugar, la acreditación de un tertium comparationis, al ser solo posible el juicio de igualdad con la comparación de la resolución a la cual se atribuye la vulneración con las precedentes resoluciones del mismo órgano judicial que en casos sustancialmente iguales hayan sido resueltos de forma contradictoria. En segundo lugar precisa la identidad de órgano judicial, entendiendo por tal, no sólo la identidad de Sala, sino también la de la Sección, al considerar cada una de éstas como órgano jurisdiccional con entidad diferenciada suficiente para desvirtuar una supuesta desigualdad en la aplicación de la ley. Y es también necesaria la existencia de alteridad en los supuestos contrastados, al ser exigible en todo alegato de discriminación en aplicación de la ley “la referencia a otro” y que excluye la comparación consigo mismo (por todas STC 205/2013, de 5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los Autos impugnados y el propuesto para efectuar el juicio de igualdad fueron dictados por la misma Sección de la Sala de lo Penal de la Audiencia Nacional, en casos sustancialmente iguales resueltos de forma contradictoria, sin concurrir el requisito de alteridad al tener por objeto reparar, en todos ellos, la indefensión invocada por el demandante de amparo, ausencia de alteridad que lleva al análisis de la queja desde la perspectiva del derecho del demandante a la tutela judicial efectiva (art. 24.1 CE), derecho fundamental cuyo contenido primigenio consiste en que las resoluciones judiciales se encuentren debidamente motivadas y fundadas en Derecho, exigencias no cumplidas cuando el órgano judicial que dicta una resolución contrapuesta en lo esencial a la que había sido dictada anteriormente para un supuesto idéntico en los datos con relevancia jurídica, no exprese o no se infieran de la propia resolución las razones para tal cambio de orientación (por todas STC 199/2013, de 5 de diciembre, FJ 2), al ser arbitrario el resultado que supone que una persona, sobre idénticos asuntos litigiosos, obtenga respuestas distintas del mismo órgano judicial sin motivación suficiente, situación que da contenido al derecho a la tutela judicial efectiva respecto del resultado arbitrario finalmente producido, resultado incompatible con ese derecho de forma independiente a cuales fueran las razones que lo puedan justificar (por todas STC 38/2011, de 28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análisis comparativo de los Autos impugnados, de 23 de julio de 2012, y del Auto anterior, de 12 de junio de 2012, se desprende la identidad de los presupuestos que dieron contenido a la invocada vulneración del derecho de defensa del demandante en los tres procedimientos tramitados ante la misma Sección, al no haber hecho posible la defensa del demandante mediante la asistencia del Letrado por él designado libremente y mencionado en las solicitudes de ampliación de orden europea de detención y entrega remitidas por las autoridades judiciales de la República Checa, vulneración apreciada por el órgano judicial en el primero de los Autos y no en los Autos posteriores, resoluciones que no mencionan la identidad de objeto de las cuestiones planteadas con la resuelta por el Auto de 12 de junio de 2012, pese a la alegación efectuada a ese respecto por el demandante en los incidentes de nulidad, sin tampoco motivar ni justificar la divergencia de criterio existente entre ellas, ausencia de motivación que vulnera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restablecer el derecho vulnerado al demandante basta con disponer la retroacción de las actuaciones al momento inmediatamente anterior al de dictar los Autos de 23 de julio de 2012, a fin de que la propia Sección dicte, con plenitud jurisdiccional, nuevas resoluciones ajustadas al derecho fundamental vulnerado, de tal forma que la fundamentación de los nuevos Autos explicite las razones por las que se resuelve de modo diferente a como se hizo en el Auto de 12 de junio de 2012 anterior, a menos que decida de modo idéntico a lo dispuesto en esta última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Norbert Kohler el amparo solicitado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la Sección Segunda de la Sala de lo Penal de la Audiencia Nacional, de 23 de julio de 2012, en rollos de Sala 242-2009 y 331-2009.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 los Autos citados, para que se adopten nuevas resoluciones respetuosas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julio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