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diciembre de 2013 tuvo entrada en el Registro General de este Tribunal un escrito de la Sala de lo Social del Tribunal Superior de Justicia de Castilla-La Mancha al que se acompaña, junto con el testimonio del procedimiento correspondiente, el Auto de 20 de noviembre de 2013, por el que se acuerda plantear una cuestión de inconstitucionalidad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“Plantear cuestión de inconstitucionalidad del artículo 8.2 de la Ley 10/2012, en la redacción dada por el Real Decreto-Ley 3/2013, así como del artículo 1, apartado nueve, por ser posiblemente contrarios a la Constitución Española de 1978, y en concreto a lo preceptuado en su artículo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Plantear cuestión de inconstitucionalidad del artículo 7.1 y 7.3 de la Ley 10/2012 y la redacción dada por el artículo 1, apartados seis, siete y ocho, del Real Decreto-Ley 3/2013, pueden ser inconstitucionales, en cuanto que quebrantan los artículos 14, 9.2 y 31.1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cuestión de inconstitucionalidad son, de forma muy resumida,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procesal de un ciudadano extranjero interpuso recurso contencioso-administrativo contra la resolución de la Subdelegación de Gobierno en Albacete que había acordado su expulsión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 8 de marzo de 2013 dictada por el Juzgado Contencioso-Administrativo núm. 1 de Albacete desestimó el recurso y confirmó la resolución administrativa de expulsión. Contra esta Sentencia la parte actora formalizó recurso de apelación, que fue inadmitido por 8 de mayo de 2013 al no haberse satisfecho la tasa judicial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 última decisión fue impugnada por la vía del recurso de queja ante la Sala de lo Contencioso-Administrativo del Tribunal Superior de Justicia de Castilla-La Mancha. Estando pendiente de resolución esta, la Sala planteó cuestión de inconstitucionalidad de determinados preceptos de la Ley 10/2012, en los términos que ya han sido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3 de diciembre de 2013, el Pleno de este Tribunal acordó acusar recibo del testimonio de actuaciones remitidas por la Sección Segunda de la Sala de lo Contencioso-Administrativo del Tribunal Superior de Justicia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oficio de 24 de febrero de 2014, la Sala de lo Contencioso-Administrativo del Tribunal Superior de Justicia de Castilla-La Mancha comunicó a este Tribunal que con fecha 4 de febrero de 2014 había dictado Auto acordando estimar la pérdida de objeto del procedimiento a quo por satisfacción extraprocesal, ya que había sido revocada la orden de expulsión del territorio nacional cuya impugnación constituía el objeto del recurso contencioso-administrativo que dio origen a dicho procedimiento. En dicho Auto se declaraba, asimismo, la finalización del proceso con archivo de las actuaciones y remisión a este Tribunal de testimonio, a fin de que resuelva lo pertinente en relación con el mantenimiento de la cuestión de inconstitucionalidad 7015-2013 planteada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recibida la anterior comunicación y el Auto que acompaña de la Sección Segunda de la Sala de lo Contencioso-Administrativo del Tribunal Superior de Justicia de Castilla-La Mancha, acordó por providencia de 8 de abril de 2014 —a los efectos que determina el art. 37.1 de la Ley Orgánica del Tribunal Constitucional— oír al Fiscal General del Estado para que, en el plazo de diez días, alegase lo que considerara conveniente acerca de la admisibilidad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registrado en este Tribunal Constitucional el 9 de mayo de 2014 y en aplicación de la doctrina constitucional en la materia al presente caso (entre otros, AATC 41/1998, 258/2003 y 42/2004), considera que la cuestión de inconstitucionalidad planteada ha perdido su objeto por satisfacción extraprocesal de la pretensión, al haber sido revocada la orden de expulsión del territorio nacional cuya impugnación constituía el objeto del recurso contencioso-administrativo que dio origen al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es promovida por la Sala de lo Contencioso-Administrativo del Tribunal Superior de Justicia de la Comunidad Autónoma de Castilla-La Mancha, respecto del art. 8.2 de la Ley 10/2012, en la redacción dada por el art. 1.9 del Real Decreto-Ley 3/2013, por posible vulneración del art. 24.1 CE, así como respecto de los arts. 7.1 y 7.3 de la misma Ley, en la redacción dada por el art. 1.6, 7 y 8 del citado Real Decreto-ley, por posible vulneración de los arts. 9.2,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expuesto en los antecedentes, tras acordar el Pleno de este Tribunal acusar recibo del testimonio de las actuaciones remitidas por la Sección Segunda de la Sala de lo Contencioso-Administrativo del Tribunal Superior de Justicia de Castilla-La Mancha, este último remitió oficio de 24 de febrero de 2014, por el que comunicó a este Tribunal haber dictado Auto de fecha 4 de febrero de 2014 acordando estimar la pérdida de objeto del procedimiento a quo por satisfacción extraprocesal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ha visto también en los antecedentes, el Fiscal General del Estado considera que la cuestión de inconstitucionalidad planteada ha perdido su objeto por satisfacción extraprocesal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Tribunal ha señalado reiteradamente que puede darse la desaparición sobrevenida del objeto del proceso constitucional, aunque ese motivo no esté expresamente contemplado en el artículo 86.1 de la Ley Orgánica del Tribunal Constitucional como una de las causas de terminación extraordinaria, de manera que su concurrencia provocará la conclusión del proceso sin que sea necesario un pronunciamiento sobre el reproche de inconstitucionalidad planteado (por todas, STC 6/2010, de 14 abril, FJ 2; recientemente, ATC 23/2013, de 29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 verdad que el llamado “juicio de relevancia” —o relación entre la norma cuya constitucionalidad se cuestiona por el órgano judicial y el fallo a dictar en el proceso— ha de establecerse en el momento en que la cuestión se formula, no ofrece duda que la concurrencia de circunstancias sobrevenidas puede afectar a este requisito e influir necesariamente en la suerte del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condicionado la procedencia de este procedimiento al hecho de que la aplicación de la norma cuestionada sea necesaria en un proceso jurisdiccional concreto. Por ello, la terminación del proceso a quo como consecuencia de la satisfacción extraprocesal —que es lo que ocurre en el caso presente, según ya hemos señalado— tiene como consecuencia la desaparición sobrevenida de uno de los presupuestos de apertura del proceso constitucional, y ello debe determinar su extinción por falta de objeto. Y es que, aun cuando el examen de la constitucionalidad de la norma continuaría siendo posible, se trataría del enjuiciamiento en abstracto, desligado del caso de aplicación al que se refiere el art. 163 CE, lo que no es posible en el marco de una cuestión de inconstitucionalidad (por todos, ATC 41/1998, de 18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7015-2013, promovida por el Tribunal Superior de Justicia de Castilla-La Mancha.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