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impugnan Sentencia de 3 de mayo de 2012 y Auto de 16 de octubre de 2012 dictados por la Sección Cuarta de la Sala Tercera de lo Contencioso-Administrativo del Tribunal Supremo en el recurso contencioso-administrativo núm. 29-2008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3 de mayo de 2012 y Auto de 16 de octubre de 2012 resoluciones impugnadas en el presente recurso de amparo núm. 6601-2012.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3 de mayo de 2012 y el Auto de 16 de octubre de 2012 resoluciones que han sido impugnadas en el presente recurso de amparo núm. 6601-2012.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6601-2012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