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septiembre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18 de julio de 2013 dictado por la Sección Primera de la Sala Tercera, de lo Contencioso-Administrativo del Tribunal Supremo en el recurso de casación núm. 357-2013, Auto que declaró la inadmisión del recurso de casación interpuesto contra la Sentencia de 9 de noviembre de 2012, dictada por la Sección Primera de la Sala de lo Contencioso-Administrativo de la Audiencia Nacional en el recurso 933-2010.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septiembre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 lo Contencioso-Administrativo del Tribunal Supremo que dictó el Auto de 18 de julio de 2013, resolución impugnada en el presente recurso de amparo núm. 6233-2013.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 lo Contencioso-Administrativo del Tribunal Supremo que dictó el Auto de18 de julio de 2013, resolución que ha sido impugnada en el presente recurso de amparo núm. 6233-2013.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6233-2013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septiembre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