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218</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8 de septiembre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presente recurso de amparo se impugna Auto de 6 de febrero de 2014 dictado por la Sección Primera de la Sala Tercera de lo Contencioso-Administrativo del Tribunal Supremo en el recurso de casación núm. 1806-2013 interpuesto contra Sentencia de 19 de marzo de 2013 dictada por la Sección Tercera de la Sala de lo Contencioso-Administrativo de la Audiencia Nacional en el recurso núm. 358-2011.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5 de septiembre de 2014 el Magistrado don Ricardo Enríquez Sancho comunicó a los efectos oportunos que se abstenía de intervenir en el antes indicado recurso de amparo, de conformidad con el art. 80 de la Ley Orgánica del Tribunal Constitucional, por haber formado parte de la Sección Primera de la Sala Tercera, de lo Contencioso-Administrativo del Tribunal Supremo que dictó el Auto de 6 de febrero de 2014 resolución impugnada en el presente recurso de amparo núm. 2264-2014.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Ricardo Enríquez Sancho Magistrado de esta Sección Cuarta del Tribunal Constitucional, la Sección, en virtud de lo previsto en el art. 219.11 de la Ley Orgánica del Poder Judicial, supletoria de la Ley Orgánica del Tribunal Constitucional (art. 80), estima justificada la causa de abstención formulada, puesto que el mencionado Magistrado formó parte de la Sección Primera de la Sala Tercera de lo Contencioso-Administrativo del Tribunal Supremo que dictó el Auto de 6 de febrero de 2014 resolución que ha sido impugnada en el presente recurso de amparo núm. 2264-2014.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Ricardo Enríquez Sancho en el recurso de amparo núm. 2264-2014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septiembre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