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9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12 de diciembre de 2013 dictado por la Sección Primera de la Sala Tercera de lo Contencioso-Administrativo del Tribunal Supremo en el recurso de casación núm. 1856-2013 interpuesto contra Sentencia de 10 de abril de 2013 dictada por la Sección Sexta de la Sala de lo Contencioso-Administrativo de la Audiencia Nacional en el recurso núm. 422-2011.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8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12 de diciembre de 2013 resolución impugnada en el presente recurso de amparo núm. 2654-2014.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 12 de diciembre de 2013 resolución que ha sido impugnada en el presente recurso de amparo núm. 2654-2014.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2654-2014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