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13 de noviembre de 2013, la Procuradora de los Tribunales doña Mar Martínez Bueno, en nombre y representación de don Carlos Quintana Peña, interpuso demanda de amparo contra la providencia de 26 de septiembre de 2013, dictada por el Juzgado de Primera Instancia núm. 24 de Sevilla en el procedimiento de juicio ordinario núm. 963-2008, que inadmitió el incidente de nulidad de actuaciones formalizado contra la Sentencia núm. 48/2010, de 3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aduce que la providencia citada, que cerró el proceso, se caracteriza por su más absoluta falta de motivación en la inadmisión del mencionado remedio procesal, por lo que resultaría contraria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 la suspensión de la ejecución de la Sentencia dictada en el proceso, que estimó la demanda de una comunidad de propietarios contra el demandante y otra persona y declaró “la ilegalidad de la obra consistente en la comunicación a través de una escalera interior rompiendo el forjado —el local comercial núm. 1 bis en planta baja, con el local letra b) en planta sótano—, condenándole “a derruir lo construido y a volver las cosas a su primitivo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julio de 2014, la Sección Cuarta de este Tribunal acordó admitir a trámite el recurso de amparo y, habiéndose interesado previamente la remisión de la certificación de las actuaciones jurisdiccionales, en aplicación de lo dispuesto en el art. 51 de la Ley Orgánica del Tribunal Constitucional (LOTC), dirigir comunicación al Juzgado de Primera Instancia núm. 24 de Sevilla a fin de que, en el plazo de diez días, emplazara a quienes hubieran sido parte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julio de 2014 el recurrente presentó en el Registro General de este Tribunal su escrito de alegaciones. Sostiene que, si no se paralizara la ejecución de la Sentencia dictada en el proceso, tendría que llevar a cabo la tarea de destrucción y restauración de un forjado, con la complicación que ello comporta, pudiendo resultar, de estimarse posteriormente el presente recurso, que el mismo perdiera su razón de ser.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9 de septiembre de 2014, el Ministerio Fiscal presentó su escrito de alegaciones, oponiéndose a la suspensión solicitada. Considera que la resolución recurrida tiene un claro contenido patrimonial y que, siendo cierto que es más compleja la retroacción de una obligación de hacer que la obligación de entregar algo, ello no obsta a que el perjuicio que pudiera irrogarse al demandante —caso de prosperar el recurso de amparo una vez derruida la obra controvertida— podría ser compensado con una nueva obra de reconstrucción o con la correspondiente indemnización.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el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si la ejecución del fallo causa al solicitante de amparo un perjuicio irreparable, debiendo entenderse por tal aquel que provoque que el restablecimiento del recurrente en los derechos fundamentales cuya vulneración denuncia sea tardío e impida definitivamente que la restauración sea efectiva (por todos, recientemente, ATC 90/2014, de 27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(por ejemplo, ATC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viene de recordar en el fundamento jurídico anterior, criterio decisivo para la estimación de la suspensión instada en un recurso de amparo es la irreparabilidad del perjuicio ocasionado por la ejecución del fallo. En el presente supuesto, el recurrente solicita la suspensión de la ejecución de una sentencia que condena a quien nos formula la queja a derruir la construcción que realizó, consistente en la comunicación a través de una pasarela de un local comercial y un almacén ubicado en la planta sótano, restituyendo el edificio a su estado primitivo.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expuesto, es evidente que la ejecución no afecta a la residencia del demandante, circunstancia ésta que, cuando acontece, aporta un dato de especial valoración en el test de irreparabilidad del perjuicio (ATC 165/2012, de 17 de septiembre, FJ 3). En el caso a examen, se trata de la unión de dos locales y, aunque la ejecución de la Sentencia causaría evidentes perturbaciones y molestias, los perjuicios no resultarían irreparables pues, en la hipótesis de que se estimase el presente recurso de amparo, con revocación de la Sentencia del Juzgado de Primera Instancia núm. 24 de Sevilla, los mismos podrían ser remediados por diferentes vías. Y entre ellas, no cabe descartar la de la indemnización económica correspondiente a satisfacer por la parte actora del proceso civil si ésta, pendiente aún de resolver este recurso, instase la ejecución de la resolución judicial cuya suspensión se pide en esta sede constitucional (ATC 144/1994, de 25 de abril,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