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enero de 2012, el Procurador de los Tribunales don José Luis García Guardia, en nombre y representación de don Mohamed Khouni Boualem, con la asistencia del Letrado don Joaquín Sirera García, interpuso demanda de amparo contra el Auto de la Sección Primera de la Sala de lo Contencioso-Administrativo del Tribunal Supremo, de 1 de diciembre de 2011, que inadmitió el recurso de casación núm. 2901-2011 promovido contra la Sentencia de la Sección Tercera de la Sala de lo Contencioso-Administrativo de la Audiencia Nacional, de 24 de marzo de 2011, que resultó desestimatoria del recurso contencioso-administrativo interpuesto contra resolución del Secretario de Estado de Justicia, de 6 de octubre de 2009, que desestimó la reclamación indemnizatoria por prisión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23 de septiembre de 2013, acordó admitir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sendos escritos, ambos de fecha 11 de septiembre de 2014, tanto el Magistrado don Juan José González Rivas como el Magistrado don Ricardo Enríquez Sancho, comunicaron a los efectos oportunos su propósito de abstenerse de intervenir en el mencionado recurso de amparo, de conformidad con los arts. 219.11 de la Ley Orgánica del Poder Judicial y 80 de la Ley Orgánica del Tribunal Constitucional, por haber formado parte de la Sección Primera de la Sala de lo Contencioso-Administrativo del Tribunal Supremo, que inadmitió el recurso de casación núm. 2901-2011 mediante el Auto de 1 de diciembre de 2011, que es objeto de impugnación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y don Ricardo Enríquez Sancho, Magistrados de este Tribunal, el Pleno, en virtud de lo previsto en el art. 219.11 de la Ley Orgánica del Poder Judicial, supletoria en este punto de la Ley Orgánica del Tribunal Constitucional (art. 80), estima justificada la causa de abstención manifestada, puesto que los mencionados Magistrados formaron parte de la Sección Primera de la Sala de lo Contencioso-Administrativo del Tribunal Supremo que, resolviendo el recurso de casación núm. 2901-2011, dictó el Auto de 1 de diciembre de 2011 que es objeto de impugnación en 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los Magistrados don Juan José González Rivas y don Ricardo Enríquez Sancho en el recurso de amparo núm. 424-2012, quienes quedarán apartados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