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marzo de 2013, doña Olga Romojaro Casado, Procuradora de los Tribunales y de don Ivo Aragón Iñigo Fernández, interpuso recurso de amparo contra la Sentencia de la Audiencia Provincial de Teruel, de 29 de enero de 2013, recaída en recurso de apelación núm. 44-2012, contra la dictada por el Juzgado de lo Penal núm. 1 de Teruel en procedimiento abreviado núm. 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Penal núm. 1 de Teruel dictó Sentencia, con fecha 10 de julio de 2012, condenando al hoy demandante de amparo y a otra persona “como autores de un delito de injurias graves hechas con publicidad de los artículos 208, 209, 211 y siguientes del Código Penal, a la pena, a cada uno de ellos, de multa de diez meses a razón de una cuota diaria de ocho euros, con la responsabilidad personal subsidiaria en caso de impago de un día de privación de libertad por cada dos cuotas no satisfechas y a la publicación de la sentencia a su cargo en el mismo medio. Asimismo se les condena, en concepto de responsabilidad civil, a indemnizar cada uno de ellos a Doña M. E. M. por los daños morales sufridos en la cantidad de tres mil euros, siendo responsables solidarios, más los intereses legalmente devengados a tenor de lo dispuesto en el artículo 576 de la Ley de Enjuiciamiento Civil. Con expresa imposición de la mitad de las costas a cada uno de los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hechos que dan origen a la condena se refieren a la publicación, el día 11 de marzo de 2010, del texto firmado por los recurrentes en el apartado de “cartas al Director” del Diario de Teruel, con motivo de la Sentencia núm. 166/2009 emitida por el Juzgado de lo Contencioso-Administrativo de Teruel en el pleito entre la empresa WBB-SIBELCO y el Ayuntamiento de Aguilar del Alfambra: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“CARTA ABIERTA LA SRA. MARÍA ELENA MARCÉN MAZA, MAGISTRADO-JUEZ DEL JUZGADO DE LO CONTENCIOSO-ADMINISTRATIVO DE TERUEL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Sra. Marcén: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motivo de la sentencia n. 166/2009 emitida por su juzgado en el pleito entre la empresa WBB-SIBELCO y el Ayuntamiento de Aguilar del Alfambra, que acatamos aunque que de ningún modo sea justa, ha demostrado parcialidad y falta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demuestra que no ha querido saber nada de las cuestiones técnicas que estaba juzgando. Ha sobreentendido gratuitamente la independencia e imparcialidad del perito encargado de evaluar el proyecto por obviar sus aberraciones técnicas y metodológicas. No se ha planteado si podía haber algo de dudoso en el peritaje de alguien que no ha aparecido por Aguilar y ha usado en exclusiva materiales y documentación proporcionados por WBB-SIBELCO.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los argumentos con los que deslegitima al Ayuntamiento no los ha usado con WBB-SIBELCO, a pesar de ser equivalentes. El primer fundamento de su sentencia es la desacreditación del informe del Ayuntamiento redactado por un arquitecto urbanista y una abogada urbanista por no ser ingenieros de minas. Sin embargo, da por buenos los de un aparejador que nadie sabe de dónde ha salido, que no se ha leído la normativa urbanística de Aguilar y que carece de competencia para pronunciarse sobre temas urbanísticos, pero que da la razón a WBB-SIBELCO.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desacredita el Informe por el vínculo familiar de uno de sus autores con un portavoz de esta Plataforma. Lo inaceptable es que calla que la constitución de esta Plataforma y su elección de cargos fue muy posterior a la elaboración del Informe. Lo intolerable es que acepta por incuestionables los argumentos de un testigo, López Jimeno, que reconoció su amistad con el presidente de WBB-SIBELCO y que para más escarnio mintió en la vista oral, de lo cual usted tiene pruebas documentales.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su triste labor no ha quedado ahí. Usted desconoce jurisprudencia que hace al caso y, lo que es peor, se ha lavado escandalosamente las manos porque ha tenido en su poder pruebas de contradicción documental en su peritaje, y no ha hecho nada. E incluso no se le ha movido ni un pelo ante el hecho de que su perito dejara en blanco una cuestión que usted planteaba.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Usted, Sra. Jueza, representa a un poder del Estado. Sus decisiones condicionan la vida de la gente, o, en este caso, de todo un pueblo que asistió a presenciar la vista (seguro que en la vida había visto llena su sala). Una gente que esperaba en vilo su sentencia y que hubiera merecido rigor y seriedad. Que usted hubiera hecho un trabajo concienzudo para llegar a unas conclusiones equilibradas. Pero no ha querido complicarse la vida con asuntos técnicos, los ha ignorado. Y da la impresión de haber sentenciado primero y construido la argumentación después, sustentándolo en la apariencia salomónica de un peritaje lacayo. Sra. Marcén, usted representa a un poder, pero no a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(Fdo.: Sergio Benítez Moriana e Ivo Aragón, portavoces de la Plataforma Aguilar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apelación fue desestimado por Sentencia de 29 de enero de 2013 de la Sección Primera de la Audiencia Provincial de Teruel, que confirmó íntegramente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demanda de amparo se alega que las resoluciones judiciales recurridas vulneran los derechos a la libertad de expresión del artículo 20.1 a) CE y a la libertad de información del artículo 20.1 d) CE, aduciendo que las dos instancias no han realizado adecuadamente la ponderación exigible entre los derechos invocados y el derecho al honor garantizado en el artículo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demanda se solicita por otrosí, de acuerdo con lo previsto en el art. 56.2 de la Ley Orgánica del Tribunal Constitucional (LOTC), la suspensión de la ejecución de la Sentencia recurrida hasta que no se resuelva el recurso de amparo, al entender que la no suspensión acarrearía perjuicios irreparables para el recurrente y, al contrario, la suspensión no afectaría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8 de septiembre de 2014, la Sección Primera del Tribunal Constitucional acordó la admisión a trámite del recurso de amparo y ordenó que se formase la presente pieza separada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en amparo, mediante escrito registrado con fecha 17 de septiembre de 2014, reiteran su solicitud de suspensión hasta que este Tribunal se pronuncie sobre el amparo. En este sentido exponen que, conforme a la jurisprudencia de este Tribunal dictada en el ATC 319/2005, de 12 de septiembre, procede la suspensión interesada, puesto que la publicación de la Sentencia condenatoria causaría un perjuicio irreparable y podría hacer perder al amparo su finalidad, sin que la suspensión implique una grave perturbación de los intereses generales, ni de los derechos del tercero, pues sólo supondría, en su caso, un aplazamiento en la satisfacción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el 23 de septiembre de 2014, en el que expone, de conformidad con reiterada doctrina de este Tribunal, que en el caso que nos ocupa la ejecución de las Sentencias impugnadas puede entrañar un perjuicio irreparable en la parte relativa a la publicación en la prensa de la condena contenida en las Sentencias dictadas, de modo que en caso de que fueran anuladas en esta vía de amparo, resultaría imposible enmendar el perjuicio ocasionado a las recurrentes, pues la difusión pública de su contenido no se vería en modo alguno enmendado por la resolución que en su caso este Tribunal dictase otorgando el amparo. Por el contrario, la suspensión no acarrearía graves consecuencias a la otra parte, ni a los intereses generales, pues la reparación de quien ha obtenido en el proceso una sentencia favorable sólo queda temporalmente aplazada.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Fiscal estima procedente que se acuerde la suspensión de la resolución impugnada en el concreto aspecto interesado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de la Ley Orgánica del Tribunal Constitucional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de 26 de enero, 186/1998, de 14 de septiembre, y 99/2002, de 5 de junio), salvo que el demandante acredite suficientemente la irreparabilidad que para sus derechos fundamentales pudiera tener la ejecución del fallo, privando al amparo de su finalidad (AATC 51/1989, de 30 de enero, 420/1997, de 22 de diciembre, y 319/2005, de 12 de septiembre, entre otros muchos). Por perjuicio irreparable hemos entendido aquel que provoque que el restablecimiento del recurrente en el derecho constitucional vulnerado sea tardío e impida su efectiva restauración (AATC 20/1992, de 27 de enero; 9/2003, de 20 de enero, y 319/2005, de 12 de septiembre,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anterior doctrina, este Tribunal viene apreciando que la ejecución de la condena a la publicación de la parte dispositiva de una sentencia, en cuanto implica la difusión de la misma cuando aún está pendiente la resolución del recurso de amparo, es susceptible de ocasionar un perjuicio irreparable que haría perder al amparo su finalidad, caso de otorgarse posteriormente éste (AATC 18/2001, de 29 de enero; 44/2001, de 26 de febrero; 7/2002, de 28 de enero, y 319/2005, de 12 de septiembre, entre otros). Y también hemos declarado reiteradamente, desde el ATC 239/1990, de 4 de junio,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los ya citados AATC 18/2001, 7/2002, y 319/2005).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señalan tanto la representación procesal del recurrente como el Ministerio Fiscal, es evidente el perjuicio que se producirían con la difusión del fallo condenatorio, difícilmente reparable con posterioridad en caso de que se otorgara el amparo, sin que la suspensión de la ejecución en este extremo produzca, de otra parte, afectación grave de los intereses generales y sólo el aplazamiento de la eventual satisfacción del derecho de un tercero, que quedará pendiente de la definitiva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resoluciones judiciales impugnadas, exclusivamente en lo referido a la publicación o divulgación de la Sentencia condenatoria en los términos en ella establecidos.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