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marzo de 2013, doña Olga Romojaro Casado, Procuradora de los Tribunales y de don Sergio Benítez Moriana, interpuso recurso de amparo contra la Sentencia de la Audiencia Provincial de Teruel, de 29 de enero de 2013, recaída en recurso de apelación núm. 44-2012, contra la dictada por el Juzgado de lo Penal núm. 1 de Teruel en procedimiento abreviado núm. 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Penal núm. 1 de Teruel dictó Sentencia, con fecha 10 de julio de 2012, condenando al hoy demandante de amparo y a otra persona “como autores de un delito de injurias graves hechas con publicidad de los artículos 208, 209, 211 y siguientes del Código Penal, a la pena, a cada uno de ellos, de multa de diez meses a razón de una cuota diaria de ocho euros, con la responsabilidad personal subsidiaria en caso de impago de un día de privación de libertad por cada dos cuotas no satisfechas y a la publicación de la sentencia a su cargo en el mismo medio. Asimismo se les condena, en concepto de responsabilidad civil, a indemnizar cada uno de ellos a Doña M. E. M. por los daños morales sufridos en la cantidad de tres mil euros, siendo responsables solidarios, más los intereses legalmente devengados a tenor de lo dispuesto en el artículo 576 de la Ley de Enjuiciamiento Civil. Con expresa imposición de la mitad de las costas a cada uno de los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hechos que dan origen a la condena se refieren a la publicación, el día 11 de marzo de 2010, del texto firmado por los recurrentes en el apartado de “cartas al Director” del Diario de Teruel, con motivo de la Sentencia núm. 166/2009 emitida por el Juzgado de lo Contencioso-Administrativo de Teruel en el pleito entre la empresa WBB-SIBELCO y el Ayuntamiento de Aguilar del Alfambra: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“CARTA ABIERTA LA SRA. MARÍA ELENA MARCÉN MAZA, MAGISTRADO-JUEZ DEL JUZGADO DE LO CONTENCIOSO-ADMINISTRATIVO DE TERUEL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Sra. Marcén: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motivo de la sentencia n. 166/2009 emitida por su juzgado en el pleito entre la empresa WBB-SIBELCO y el Ayuntamiento de Aguilar del Alfambra, que acatamos aunque que de ningún modo sea justa, ha demostrado parcialidad y falta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demuestra que no ha querido saber nada de las cuestiones técnicas que estaba juzgando. Ha sobreentendido gratuitamente la independencia e imparcialidad del perito encargado de evaluar el proyecto por obviar sus aberraciones técnicas y metodológicas. No se ha planteado si podía haber algo de dudoso en el peritaje de alguien que no ha aparecido por Aguilar y ha usado en exclusiva materiales y documentación proporcionados por WBB-SIBELCO.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los argumentos con los que deslegitima al Ayuntamiento no los ha usado con WBB-SIBELCO, a pesar de ser equivalentes. El primer fundamento de su sentencia es la desacreditación del informe del Ayuntamiento redactado por un arquitecto urbanista y una abogada urbanista por no ser ingenieros de minas. Sin embargo, da por buenos los de un aparejador que nadie sabe de dónde ha salido, que no se ha leído la normativa urbanística de Aguilar y que carece de competencia para pronunciarse sobre temas urbanísticos, pero que da la razón a WBB-SIBELCO.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desacredita el Informe por el vínculo familiar de uno de sus autores con un portavoz de esta Plataforma. Lo inaceptable es que calla que la constitución de esta Plataforma y su elección de cargos fue muy posterior a la elaboración del Informe. Lo intolerable es que acepta por incuestionables los argumentos de un testigo, López Jimeno, que reconoció su amistad con el presidente de WBB-SIBELCO y que para más escarnio mintió en la vista oral, de lo cual usted tiene pruebas documentales.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su triste labor no ha quedado ahí. Usted desconoce jurisprudencia que hace al caso y, lo que es peor, se ha lavado escandalosamente las manos porque ha tenido en su poder pruebas de contradicción documental en su peritaje, y no ha hecho nada. E incluso no se le ha movido ni un pelo ante el hecho de que su perito dejara en blanco una cuestión que usted planteaba.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Usted, Sra. Jueza, representa a un poder del Estado. Sus decisiones condicionan la vida de la gente, o, en este caso, de todo un pueblo que asistió a presenciar la vista (seguro que en la vida había visto llena su sala). Una gente que esperaba en vilo su sentencia y que hubiera merecido rigor y seriedad. Que usted hubiera hecho un trabajo concienzudo para llegar a unas conclusiones equilibradas. Pero no ha querido complicarse la vida con asuntos técnicos, los ha ignorado. Y da la impresión de haber sentenciado primero y construido la argumentación después, sustentándolo en la apariencia salomónica de un peritaje lacayo. Sra. Marcén, usted representa a un poder, pero no a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(Fdo.: Sergio Benítez Moriana e Ivo Aragón, portavoces de la Plataforma Aguilar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apelación fue desestimado por Sentencia de 29 de enero de 2013 de la Sección Primera de la Audiencia Provincial de Teruel, que confirmó íntegramente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demanda de amparo se alega que las resoluciones judiciales recurridas vulneran los derechos a la libertad de expresión del artículo 20.1 a) CE y a la libertad de información del artículo 20.1 d) CE, aduciendo que las dos instancias no han realizado adecuadamente la ponderación exigible entre los derechos invocados y el derecho al honor garantizado en el artículo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demanda se solicita por otrosí, de acuerdo con lo previsto en el art. 56.2 de la Ley Orgánica del Tribunal Constitucional (LOTC), la suspensión de la ejecución de la Sentencia recurrida hasta que no se resuelva el recurso de amparo, al entender que la no suspensión acarrearía perjuicios irreparables para el recurrente y, al contrario, la suspensión no afectaría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8 de septiembre de 2014, la Sección Primera del Tribunal Constitucional acordó la admisión a trámite del recurso de amparo y ordenó que se formase la presente pieza separada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en amparo, mediante escrito registrado con fecha 17 de septiembre de 2014, reiteran su solicitud de suspensión hasta que este Tribunal se pronuncie sobre el amparo. En este sentido exponen que, conforme a la jurisprudencia de este Tribunal dictada en el ATC 319/2005, de 12 de septiembre, procede la suspensión interesada, puesto que la publicación de la Sentencia condenatoria causaría un perjuicio irreparable y podría hacer perder al amparo su finalidad, sin que la suspensión implique una grave perturbación de los intereses generales, ni de los derechos del tercero, pues sólo supondría, en su caso, un aplazamiento en la satisfacción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presentado el 23 de septiembre de 2014, en el que expone, de conformidad con reiterada doctrina de este Tribunal, que en el caso que nos ocupa la ejecución de las Sentencias impugnadas puede entrañar un perjuicio irreparable en la parte relativa a la publicación en la prensa de la condena contenida en las sentencias dictadas, de modo que en caso de que fueran anuladas en esta vía de amparo, resultaría imposible enmendar el perjuicio ocasionado a las recurrentes, pues la difusión pública de su contenido no se vería en modo alguno enmendado por la resolución que en su caso este Tribunal dictase otorgando el amparo. Por el contrario, la suspensión no acarrearía graves consecuencias a la otra parte, ni a los intereses generales, pues la reparación de quien ha obtenido en el proceso una sentencia favorable sólo queda temporalmente aplazada.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Fiscal estima procedente que se acuerde la suspensión de la resolución impugnada en el concreto aspecto interesado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de la Ley Orgánica del Tribunal Constitucional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de 26 de enero, 186/1998, de 14 de septiembre, y 99/2002, de 5 de junio), salvo que el demandante acredite suficientemente la irreparabilidad que para sus derechos fundamentales pudiera tener la ejecución del fallo, privando al amparo de su finalidad (AATC 51/1989, de 30 de enero, 420/1997, de 22 de diciembre, y 319/2005, de 12 de septiembre, entre otros muchos). Por perjuicio irreparable hemos entendido aquel que provoque que el restablecimiento del recurrente en el derecho constitucional vulnerado sea tardío e impida su efectiva restauración (AATC 20/1992, de 27 de enero, 9/2003, de 20 de enero, y 319/2005, de 12 de septiembre,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anterior doctrina, este Tribunal viene apreciando que la ejecución de la condena a la publicación de la parte dispositiva de una sentencia, en cuanto implica la difusión de la misma cuando aún está pendiente la resolución del recurso de amparo, es susceptible de ocasionar un perjuicio irreparable que haría perder al amparo su finalidad, caso de otorgarse posteriormente éste (AATC 18/2001, de 29 de enero, 44/2001, de 26 de febrero, 7/2002, de 28 de enero, y 319/2005, de 12 de septiembre, entre otros). Y también hemos declarado reiteradamente, desde el ATC 239/1990, de 4 de junio,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los ya citados AATC 18/2001, 7/2002, y 319/2005).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señalan tanto la representación procesal del recurrente como el Ministerio Fiscal, es evidente el perjuicio que se producirían con la difusión del fallo condenatorio, difícilmente reparable con posterioridad en caso de que se otorgara el amparo, sin que la suspensión de la ejecución en este extremo produzca, de otra parte, afectación grave de los intereses generales y sólo el aplazamiento de la eventual satisfacción del derecho de un tercero, que quedará pendiente de la definitiva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resoluciones judiciales impugnadas, exclusivamente en lo referido a la publicación o divulgación de la Sentencia condenatoria en los términos en ella establecidos.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