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17 de diciembre de 2010 dictada por la Sección Séptima de la Sala Tercera de lo Contencioso-Administrativo del Tribunal Supremo en el recurso de casación núm. 3254-2010 interpuesto contra Sentencia de 30 de octubre de 2009 dictada por la Sección Tercera de la Sala de lo Contencioso-Administrativo del Tribunal Superior de Justicia de Castilla y León en el recurso núm. 2346-2008.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3254-2010 del que trae causa el presente recurso de amparo núm. 149-2011.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3254-2010 seguido en la Sección Séptima de la Sala Tercera de lo Contencioso-Administrativo del Tribunal Supremo que dictó la Sentencia de 17 de diciembre de 2010, resolución que ha sido impugnada en el presente recurso de amparo núm.149-2011.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149-2011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