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7 de abril de 2011 dictada por la Sección Séptima de la Sala Tercera de lo Contencioso-Administrativo del Tribunal Supremo en el recurso de casación núm. 3228-2010 interpuesto contra Sentencia de 20 de octubre de 2009 dictada por la Sección Tercera de la Sala de lo Contencioso-Administrativo del Tribunal Superior de Justicia de Castilla y León en el recurso núm. 2476-2008.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14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3228-2010 del que trae causa el presente recurso de amparo núm. 2739-2011.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3228-2010 seguido en la Sección Séptima de la Sala Tercera de lo Contencioso-Administrativo del Tribunal Supremo que dictó la Sentencia de 7 de abril de 2011, resolución que ha sido impugnada en el presente recurso de amparo núm. 2739-2011.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2739-2011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