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277</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6 de noviembre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del Tribunal Constitucional el día 10 de julio de 2014, don L.P.O., Procurador de los Tribunales, actuando en nombre y representación del Consejo Insular de Formentera plantea conflicto en defensa de la autonomía local contra diversos apartados del art. 75 bis de la Ley 7/1985, de 2 de abril, reguladora de las bases de régimen local (LBRL), introducido por el art. primero, apartado 18 de la Ley 27/2013, de 27 de diciembre, de racionalización y sostenibilidad de la Administración local y de la disposición adicional nonagésima de la Ley 22/2013, de 23 de diciembre, de presupuestos generales del Estado para el año 2014, en la redacción por el art. 11.3 del Real Decreto-ley 1/2014, de 24 de enero, de reforma en materia de infraestructuras y transporte.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interposición del conflicto se fundamenta en lo que califica como peculiaridad del Consejo Insular de Formentera en la medida en que reuniría la triple condición de institución de autogobierno de la Comunidad Autónoma, entidad municipal (pues toda la isla es un único municipio) y entidad insular, peculiaridad que la haría deudora de un necesario tratamiento diferenciado. De hecho la queja que se formula se relaciona con lo que se califica como “una discriminación flagrante, por tratamiento indebido e indiferenciado, de los corporativos de nuestra institución, en lo que afecta a sus retribuciones”. Tales limitaciones retributivas serían contrarias a la autonomía de Formentera, garantizada por el Estatuto de Autonomía de las Illes Balears (en adelante, EAIB) y por la Constitución Española, en cuanto que el legislador estatal no habría atendido a las peculiares características del Consejo Insular de Formentera. También se alega que el nuevo art. 75 bis LBRL incurre en incoherencias internas que perjudican la autonomía local de Formentera, por cuanto no se atiende a sus peculiaridades ni se permite la intervención del legislador autonómico. En otro orden de cuestiones el escrito de promoción del conflicto indica que la regulación impugnada vulnera el art. 23 CE, el art. 15 EAIB y la Carta europea de la autonomía local, volviendo a insistir en la idea del necesario tratamiento diferenciado a otorgar a Formentera. Finalmente se alega la vulneración del orden de distribución de competencias que también implicaría, de manera paralela, la del principio de autonomía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interposición del conflicto dedica un segundo apartado a examinar la legitimación del Consejo Insular de Formentera para la interposición del conflicto, legitimación que ha sido negada por el Consejo Consultivo de las Illes Balears en su dictamen de 24 de mayo de 2014. Al respecto vuelve a aludir a lo que considera peculiar naturaleza de Formentera que permitiría entender cumplido, en tanto que situación excepcional, el supuesto del art. 75.ter.1 a) de la Ley Orgánica del Tribunal Constitucional (LOTC) en relación con la disposición adicional tercera.1 LOTC en el sentido de que la isla de Formentera sería destinataria única de la norma, ya que ninguna otra entidad sufre la misma vulneración de la autonomía local. Igualmente la legitimación de Formentera se defiende citando el voto particular a la STC 240/2006, que reconoció la legitimación de Ceuta y Melilla para la interposición de un conflicto en defensa de la autonomía local, en el que se argumenta la necesidad de no tratar a Ceuta y Melilla como entes locales para una mejor protección de las competencias estatutarias no municipales de ambas. Un tercer argumento a favor de la legitimación de Formentera vendría dado por la aplicación de la doctrina acerca de la discriminación por indiferenciación en relación con la protección de la autonomía local, en la medida en que se ha incumplido la necesidad de dar un trato específico y único a Formentera en atención a su naturaleza jurídica singular.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de este Tribunal, por Auto de 7 de octubre de 2014, acordó inadmitir a trámite el presente conflicto en defensa de la autonomía local (art. 75 quinquies.1 LOTC), por carecer el Consejo Insular de Formentera de legitimación para interponerlo al no cumplirse el requisito exigido por el art. 75 ter.1 a) LOTC en relación con la disposición adicional tercera.1 LOTC, en cuanto que no es el destinatario único de los preceptos que pretendía impugnar.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presentado en el Registro General de este Tribunal el día 16 de octubre de 2014 el Procurador de los Tribunales don L.P.O., actuando en nombre y representación del Consejo Insular de Formentera, interpuso recurso de súplica contra el referido Auto de 7 de octubre de 2014, con la argumentación que a continuación se resume.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sintetizar las razones de inadmisión del conflicto, indica que “el objeto del presente recurso será la de justificar que el Consell Insular de Formentera está en una posición singular frente a las normas impugnadas, de tal manera que desde el punto de vista material es la única entidad local a la que aquéllas le son aplicables conjuntamente”. Alude nuevamente a la singularidad institucional de Formentera como entidad territorial singular y única en el conjunto del derecho público español y a la queja de la discriminación por indiferenciación en la medida en que las normas impugnadas tienen una incidencia sobre su autonomía local no comparable a ningún otro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Examina a continuación la doctrina de la STC 121/2012, de 5 de junio, entendiendo, a los efectos que ahora interesan, que no es necesario que el concepto “destinatario único” se derive de la literalidad de la ley, ni que ello deba responder a una intencionalidad del legislador. Añade que “está implícito en lo anterior que la legitimación no puede ser meramente formal, pues solo con la interpretación de la ley y el análisis de sus efectos se puede llegar a la conclusión de que solo afecta a una única entidad local” y por último afirma que “entiende la jurisprudencia que la singularidad debe, en principio, estar en el contenido de la ley y no en la realidad que regula. Es decir, que la condición del destinatario no puede ser criterio definitivo para juzgar contraria a la autonomía local (y, por tanto la Constitución) un texto suficientemente general o neutro de la ley”. Por todo lo anterior, concluye que “esta parte entiende que concurre la circunstancia única y singular de que al Consell Insular de Formentera te son aplicables dos preceptos distintos de la Ley: el dirigido a los municipios y el dirigido a los consejos insulares”. A lo anterior añade que la admisión a trámite del conflicto no supondría una desviación respecto de la finalidad del art. 75 ter. LOTC ni se modificaría el criterio hasta ahora mantenido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Discrepa a continuación del argumento del Auto de inadmisión según el cual las normas impugnadas no conciernen exclusivamente al Consell Insular de Formentera, pues alega la falta de identidad entre los cabildos canarios y los consejos insulares y, aún dentro de éstos, el caso de Formentera, en el que el Estatuto de Autonomía de las Illes Balears habría creado una figura que tiene varias naturalezas. Se plantea así si el segundo párrafo, apartado 2 del art. 75 bis LBRL, constituye “una única regla o por el contrario debería entenderse a los efectos de su impugnación, como desglosable en dos reglas distintas una para los cabildos y otra para los consejos insulares, de suerte que Formentera sería el destinatario único de la regla relativa a los consejos insulares de menos de 25.000 habitantes. Entiende fundada esta interpretación en el art. 141.4 CE, que se refiere a los “Cabildos o Consejos”, haciendo referencia a dos instituciones distintas, lo que permitiría entender que el art. 75 bis.2 LBRL es desglosable en dos reglas distintas a los efectos de su impugnación.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procesal del Consejo Insular de Formentera interpone recurso de súplica contra el Auto del Pleno de este Tribunal, de 7 de octubre de 2014, por el que se inadmitió a trámite el conflicto en defensa de la autonomía local núm. 4570-2014 planteado contra diversos apartados del art. 75 bis de la Ley 7/1985, de 2 de abril, reguladora de las bases de régimen local (LBRL), introducido por el art. primero, apartado 18 de la Ley 27/2013, de 27 de diciembre, de racionalización y sostenibilidad de la Administración local y de la disposición adicional nonagésima de la Ley 22/2013, de 23 de diciembre, de presupuestos generales del Estado para el año 2014, en la redacción por el art. 11.3 del Real Decreto-ley 1/2014, de 24 de enero, de reforma en materia de infraestructuras y transporte.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decisión de inadmisión se fundó en que el Consejo Insular de Formentera, al no ser el único destinatario de la regulación contenida en los preceptos que impugnaba, carecía, por sí solo, de legitimación para promover el conflicto en defensa de la autonomía local., por cuanto se incumplía el requisito exigido por el arto 75 ter.1 a) en relación con la disposición adicional tercera.l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representación procesal del Consejo Insular de Formentera manifiesta su disconformidad con tal decisión en cuanto sostiene ser el destinatario único de los preceptos cuestionados, en virtud de su peculiar naturaleza institucional, entendiendo que su consideración como tal destinatario único no se opone a la doctrina de la STC 121/2012, de 5 de junio. Argumenta además que la regla de legitimación para promover un conflicto de este tipo respecto de la nueva redacción del art. 75 bis.2 LBRL debería desglosarse en dos, distinguiendo entre los cabildos canarios y los consejos insulares de las Illes Balears.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examen de los argumentos que se contienen en el recurso de súplica conduce a su desestimación, por cuanto se vienen, sustancialmente, a reproducir los alegatos ya expuestos en el escrito de planteamiento del conflicto, sin desvirtuar en ningún momento las razones por las que en el mencionado Auto de 7 de octubre de 2014 se acordó la inadmisión del conflicto en defensa de la autonomía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efecto, en cuanto a la alegada singularidad institucional de Formentera, y sin perjuicio de lo establecido en la disposición transitoria tercera de la Ley balear 6/2007, de 27 de diciembre, de medidas tributarias y económico-administrativas respecto a la personalidad jurídica única del Consejo Insular de Formentera y su asunción de las competencias y potestades administrativas que corresponden al Ayuntamiento de Formentera, no cabe sino reiterar que dicha posición institucional no es objeto de discusión en el presente conflicto, centrado en la regulación de las retribuciones de los miembros de determinadas corporaciones locales en función de la población de las mismas. Tampoco esa singularidad es relevante a los efectos de la aplicación de la doctrina de la STC 121/2012, en la medida en que esa afirmada peculiaridad no viene dada por las normas que impugna, pues resulta claro que tanto una como otra no se encuentran dirigidas a regular la situación de un solo sujeto, sino que, en todo caso, tienen un carácter abstracto y general y, tanto se aplique una como otra, resulta que el Consejo Insular de Formentera no es su único destinatario. Confunde de nuevo el promotor del conflicto lo que reiteradamente entiende como posición supuestamente única desde un punto de vista organizativo o institucional, con el hecho de que haya de disfrutar, en todo caso, de un régimen singularizado en materia de retribuciones de los integrantes de la corporación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tampoco puede tomarse en consideración la alegada distinción entre los cabildos canarios y los consejos insulares que derivaría, según el recurso de súplica, del art. 75.bis.2, segundo párrafo, LBRL, de suerte que Formentera sería el destinatario único de la regla relativa a los consejos insulares de menos de 25.000 habitantes. En efecto, sin perjuicio de advertir que tal alegación resulta contradictoria con las anteriormente formuladas en cuanto admite que las dos normas objeto del conflicto no le son aplicables, resulta que esa supuesta distinción tampoco resulta relevante, ya que la legitimación otorgada por la disposición adicional tercera.1 LOTC a los cabildos y consejos insulares, que los asimila a las provincias a efectos de la legitimación exigida para promover un proceso de este tipo, lo es en razón de que se trata de la administración propia de las islas, tal como dispone el art. 141.4 CE, condición que concurre tanto en los cabildos canarios como en los consejos insulares de las Illes Balears.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Consejo Insular de Formentera contra el Auto del Pleno de este Tribunal de 7 de octubre de 2014 por el que se inadmite a trámite el conflicto en defensa de la autonomía local núm. 4570-2014.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noviembre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