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26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3596-2010, contra la Sentencia dictada por la Sección Tercera de la Sala de lo Contencioso-Administrativo del Tribunal Superior de Justicia de Castilla y León en recurso núm. 2154-2008.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24 de noviembre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17 de marzo de 2011, resolución impugnada en el presente recurso de amparo número 2387-2011.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17 de marzo de 2011, en el recurso de casación número 3596-2010,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2387-2011,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