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303</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17 de diciembre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noviembre de 2013, el Procurador de los Tribunales don Ramón Rodríguez Nogueira, en nombre y representación de Inges Obras y Proyectos, S.L., interpuso demanda de amparo contra la providencia de la Sala de lo Civil del Tribunal Supremo de 10 de septiembre de 2013, por la que se inadmite el incidente de nulidad de actuaciones contra el Auto de 4 de junio de 2013, por el que se inadmite el recurso de casación núm. 85-2013, dando lugar al presente recurso de amparo, sobre cuya admisibilidad debe conocer la Sección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26 de junio de 2013, del Pleno del Tribunal Constitucional, por el que se dispone la composición de las Salas y Secciones del Tribunal Constitucional (“Boletín Oficial del Estado” de 27 de junio de 2013), a partir de la referida fecha la Sección Primera, presidida por el Presidente del Tribunal, está integrada por don Francisco Pérez de los Cobos Orihuel, doña Encarnación Roca Trías y don Juan Antonio Xiol Ríos (art.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6 de noviembre de 2014 el Magistrado don Juan Antonio Xiol Ríos comunicó su voluntad de abstenerse en el conocimiento del presente recurso de amparo por entender que concurría la causa 11 del art. 219 de la Ley Orgánica del Poder Judicial, por haber formado parte, en su condición de Magistrado de la Sala de lo Civil del Tribunal Supremo, del órgano judicial que acordó el Auto de 4 de junio de 2013 impugnado en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una de las resoluciones impugnadas en amparo, está incurso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Antonio Xiol Ríos en el recurso de amparo núm. 6448-2013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