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15 de enero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providencia y Auto de la Sala de lo Contencioso-Administrativo del Tribunal Supremo en recurso de casación 4763-2011, contra la Sentencia dictada por la Sección Segunda de la Sala de lo Contencioso-Administrativo del Tribunal Superior de Justicia de Canarias en recurso núm. 251-2009.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13 de enero de 2015,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15 de marzo de 2012, resolución impugnada en el presente recurso de amparo núm. 5987-2012.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Sala Segunda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15 de marzo de 2012, en el recurso de casación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número 5987-2012,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