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19 de enero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21 de enero de 2013 dictada por la Sección Séptima de la Sala Tercera de lo Contencioso-Administrativo del Tribunal Supremo en el recurso de casación núm. 6191-2011 interpuesto contra Sentencia de 2 de noviembre de 2011 dictada por la Sección Primera de la Sala de lo Contencioso-Administrativo del Tribunal Superior de Justicia de Andalucía en el recurso núm. 414-2011.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19 de enero de 2015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6191-2011 del que trae causa el presente recurso de amparo núm. 1651-2013.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6191-2011 seguido en la Sección Séptima de la Sala Tercera de lo Contencioso-Administrativo del Tribunal Supremo que dictó la Sentencia de 21 de enero 2013, resolución que ha sido impugnada en el presente recurso de amparo núm. 1651-2013.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1651-2013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