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de 2014 tuvo entrada en el Registro General del Tribunal Constitucional un escrito de la Sección Segunda de la Sala de lo Contencioso-Administrativo del Tribunal Superior de Castilla-La Mancha, al que se acompaña, junto con el testimonio de las actuaciones del procedimiento ordinario 592-2010, el Auto de 27 de junio de 2014 por el que se plantea cuestión de inconstitucionalidad contra los apartados 1 a) y 2 del art. 22 de la Ley 8/2007, de 28 de mayo, de suelo, y los apartados 1 a) y 2 del art. 23 del texto refundido de la Ley de suelo, aprobado por el Real Decreto Legislativo 2/2008, de 20 de junio, por la posible vulneración del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interesan a la presente cuestión son los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José Antonio Vinuesa recurrió en vía contencioso-administrativa la resolución del Jurado provincial de expropiación forzosa de Cuenca de 25 de junio de 2010 que fijó el justiprecio de la parcela catastral núm. 5001 polígono 507 de 4,4849 ha, ubicada en Motilla del Palancar, de la que se expropiaron 654 m2 dedicados a pastos para la ejecución del proyecto “acondicionamiento de la travesía de Motilla del Palancar. CN 320” puntos kilométricos 69,730 a 73,500 y N-III puntos kilométricos 199,550 a 200,630.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Alegó que aunque la finca sea rústica debe valorarse como urbana, pues sobre el conjunto de la parcela existe una nave industrial destinada a la actividad de madera, aparte de que tiene acceso rodado, suministro eléctrico, agua potable y alcantarillado, por lo cual es un solar. Además dice que la obra en la travesía está integrada en la red viaria local e incorporada al entramado urbano del pueblo con lo cual crea ciudad, por lo que “se reclama la aplicación de la consolidada doctrina del Tribunal Supremo según la que los suelos, aun rústicos, deben ser valorados como si fueran urbanizados programados cuando se destinan a la ejecución de sistemas generales que tienden a crear ciudad”. Por ello pide que se le pague 24,91 €/m2, al igual que hizo la Administración con otra parcela suya expropiada con la calificación de urbana. En su defecto solicita que se le abone al precio fijado por un arquitecto técnico en el informe pericial que aporta, que es 19,60 €/m2.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antes de dictar sentencia, la Sección Segunda de la Sala de lo Contencioso-Administrativo del Tribunal Superior de Justicia de Castilla-La Mancha dictó providencia con fecha 26 de mayo de 2014, por la que, al amparo de lo previsto en el art. 35.2 de la Ley Orgánica del Tribunal Constitucional (LOTC), acordó oír a las partes y al Ministerio Fiscal por el plazo común de diez días acerca de la posible inconstitucionalidad de los arts. 22.1 a) y 2 de la Ley 8/2007, de 28 de mayo, de suelo, y 23.1 a) y 2 del texto refundido de la Ley de suelo, en cuanto que las limitaciones que en ellos se establecen para la valoración de los terrenos en el suelo rural podría impedirle fijar el justiprecio del bien conforme a su valor real, con la consiguiente vulneración del art. 33.3 CE. La recurrente y el Ministerio Fiscal se mostraron favorables a su interposición, mientras que la Abogacía del Estado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junio de 2014, de planteamiento de la cuestión de inconstitucionalidad, tras exponer los antecedentes del caso y la concurrencia de los requisitos previstos en el art. 35 LOTC, expone que la valoración del suelo rural por el método de capitalización de rentas agrarias corregido hasta el máximo del doble en función de factores objetivos de localización, sin que puedan tenerse en cuenta expectativas derivadas de la asignación de usos y edificabilidades por la ordenación territorial y urbanística que no hayan sido aun plenamente realizados, puede resultar contraria al art. 33.3 CE por las siguientes razones. En primer lugar, menciona la doctrina del Tribunal Constitucional sobre el contenido real de la indemnización o “justo precio”, recogida en la STC 166/1986, de 19 de diciembre, FJ 13 B), según la cual la garantía constitucional de la correspondiente indemnización concede el derecho a percibir la contraprestación económica que correspondan valor real de los bienes y derechos expropiados, cualquiera que sea éste, pues lo que garantiza la Constitución es el razonable equilibrio entre el daño expropiatorio y su reparación. Se cita también la STC 313/2006, de 8 de noviembre, FJ 9. Invoca también la doctrina del Tribunal Europeo de Derechos Humanos, señalando que, a su entender, los preceptos que se cuestionan vulnerarían el art. 1 del protocolo adicional del Convenio de Roma, con cita de numerosas sentencias del referido Tribunal, entre las que se encuentra la de 26 de abril de 2011, de la que la Sala deduce que, si bien el Tribunal Europeo de Derechos Humanos reconoce excepciones a la regla del reembolso equivalente al pleno valor de mercado, en los supuestos de expropiaciones por causa de utilidad pública y más concretamente en las que tienen por finalidad la construcción de carreteras sólo una indemnización íntegra puede ser considerada como razonablemente proporcionada al valor del bien. Hace referencia también a la abundante doctrina del Tribunal Supremo proclive a la valoración de las expectativas urbanísticas en suelo no urbanizable, señalando que bajo la vigencia de la Ley del suelo de 1976 las expectativas urbanísticas fueron un elemento más de valoración en los suelos no urbanizables y que, desde entonces, con la única excepción de los ocho años que estuvo vigente la Ley del suelo 8/1990 y su texto refundido, aprobado por Real Decreto Legislativo 1/1992, nuestra legislación urbanística ha permitido su valoración hasta la vigente Ley 8/2007, en la que se ha vuelto a prohibir expresamente tal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órgano judicial hace referencia a las modificaciones posteriores a la entrada en vigor de texto refundido que vienen a evidenciar la insuficiencia del método de capitalización para obtener el valor real del suelo rural. En este sentido, aunque tanto la Ley del suelo como el texto refundido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pudiera alejar de forma significativa el resultado de las valoraciones respecto de los precios de mercado del suelo rural sin consideración de expectativas urbanísticas, no se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 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o zonas de especial valor no estrictamente agropecuario. En conclusión, considera el órgano judicial que el sistema de valoración es claramente insuficiente para que los propietarios puedan obtener esa compensación íntegra por el bien expropiado, tanto cualitativa como cuantitativamente, pues se prohíbe expresamente la consideración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noviembre de 2014, la Sección segunda del Tribunal Constitucional acordó dar traslado al Fiscal General del Estado para que alegase sobre la 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diciembre tuvo entrada en este Tribunal escrito del Ministerio Fiscal formulando las alegaciones que a continuación se resumen.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de la Ley de suelo,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sea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de la Ley de suelo, mientras que en la duda que atañe al apartado segundo del mismo precepto debe considerarse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37.1 de la Ley Orgánica del Tribunal Constitucional (LOTC), este Tribunal puede rechazar la cuestión de inconstitucionalidad, en trámite de admisión y mediante Auto y sin más audiencia que la del Fiscal General del Estado,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dispuesto en el art. 35.1 LOTC, la norma legal cuya constitucionalidad se cuestiona debe ser aplicable al caso. Siendo obvio, de un lado, que la Ley 8/2007, de suelo, y el texto refundido de la Ley de suelo aprobado por el Real Decreto Legislativo 2/2008, ni estaban ni pudieron estar en vigor en un mismo momento, y de otro que la hoja de aprecio de la recurrente fue presentada a la Administración expropiante el 30 de marzo de 2009, después, por tanto, de la entrada en vigor del texto refundido de la Ley de suelo el 27 de junio de 2008, debemos inadmitir la cuestión de inconstitucionalidad planteada en relación con los apartados 1 a) y 2 del art. 22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razones en las que se fundamenta el Auto de planteamiento de la cuestión de inconstitucionalidad son sustancialmente iguales a las expuestas en los recursos de inconstitucionalidad números 6963-2007, 6964-2007, 6969-2007 y 6973-2007 acumulados interpuestos contra la Ley de suelo por más de cincuenta Diputados y tres Gobiernos de Comunidades autónomas, así como a los expuestos en los dos posteriores recursos de inconstitucionalidad 7020-2008 y 7231-2008 también acumulados, interpuestos contra el texto refundido de la Ley de suelo que han dado lugar a la STC 141/2014, de 11 de septiembre, aunque en este caso, a diferencia de entonces, la duda se refiere únicamente al suelo clasificado por el planeamiento como rústico, esto es, al que el planeamiento no atribuye ni edificabilidad ni usos urbanísticos. En concreto considera la Sala que el valor que garantiza el art. 33.3 CE es el valor de mercado. Como quiera que las fincas rústicas afectadas en el proceso judicial tienen un plus valor debido a ciertas expectativas urbanísticas, se encuentran próximas al núcleo urbano, y de aprovechamiento no estrictamente agropecuario (naves y establecimientos a pie de carretera), y los preceptos cuestionados obligan a valorar un suelo como el de autos por capitalización de las rentas agrarias, con un incremento máximo del doble, el valor así obtenido resulta claramente insuficiente.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141/2014, de 11 de septiembre, tras analizar el art. 23.1 a) del texto refundido de la Ley de suelo entendió que era constitucional una vez depurado el inciso de “hasta un máximo del doble”, cuya inconstitucionalidad y nulidad declaró. Por ello, una vez eliminado del ordenamiento jurídico el inciso anteriormente señalado, sólo cabe declarar que la cuestión ha perdido objeto en lo que atañe a la duda de constitucionalidad relativa al apartado 1 a) del art. 23 del texto refundido de la Ley de suelo, criterio además reconocido en el reciente ATC 8/2015, de 20 de enero, al resolver la cuestión de inconstitucionalidad 2995-2014.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la Sala se suscita también en relación con el apartado 2 del art. 23 del texto refundido de la Ley de suelo, según el cual en ningún caso podrán considerarse expectativas derivadas de la asignación de edificabilidades y usos por la ordenación territorial y urbanística que no hayan sido aún realizados. Aunque este apartado no fue impugnado entonces, motivo por el cual la STC 141/2014, de 11 de septiembre, no se pronunció específicamente sobre el mismo, la solución a la duda de constitucionalidad planteada viene predeterminada por lo afirmado por este Tribunal en el fundamento jurídico 9 B), y en el ya invocado Auto de 20 de enero de 2015, ya que el apartado 2 del art. 23 sólo es una reiteración de la regla establecida en el apartado 1 a) del art. 23, motivada, sin duda, por la preocupación del legislador en insistir en el abandono de los criterios de valoración del suelo no urbanizable y urbanizable de la Ley 6/1998, de 13 de abril, de régimen del suelo y valoraciones.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los argumentos expuestos, cabe concluir que la duda de inconstitucionalidad planteada en relación al art. 23.2 del texto refundido de la Ley de suelo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