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25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2012, el Procurador de los Tribunales don Miguel Torres Álvarez, en nombre y representación de doña María Isabel Hernández Bernal, y bajo la dirección del Letrado don Mario Páez Álvarez, presentó demanda de amparo contra el Auto de la Sección Segunda de la Audiencia Provincial de A Coruña de 19 de septiembre de 2012, por el que se desestima el incidente de nulidad interpuesto contra la Sentencia de 28 de mayo de 2012 que estima el recurso de apelación núm. 576-2012 interpuesto contra la Sentencia del Juzgado de lo Penal núm. 6 de A Coruña de 27 de enero de 2012, dictada en el procedimiento abreviado núm. 298-2010.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este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fue absuelta por Sentencia del Juzgado de lo Penal núm. 6 de A Coruña de 27 de enero de 2012, dictada en el procedimiento abreviado núm. 298-2010, de delito de daños del que era acusada. La Sentencia declara probado que la acusada, con motivo del abandono de un local que tenía arrendado, contrató a una persona para que retirara todos los objetos que consideraba de su propiedad, incluyendo la instalación eléctrica, puertas interiores y el plomo de una habitación de rayos x, para lo que tuvo que romper parte de una pared de pladur, así como otros desperfectos y almacenamiento de escombros. La Sentencia considera que los hechos no son constitutivos de un delito de daños al no concurrir el dolo específicamente delictivo y propio de este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acusación particular interpuso recurso de apelación, tramitado con el núm. 576-2012 por la Sección Segunda de la Audiencia Provincial de A Coruña, que fue estimado por Sentencia de 28 de mayo de 2012 condenando, entre otros, a la ahora demandante en amparo como autora de un delito de daños a la pena de multa de seis meses con una cuota diaria de diez euros y al pago de una responsabilidad civil. Esta Sentencia argumenta que, sin necesidad de modificar los hechos probados en respeto a la STC 167/2002, las fotografías unidas a la causa y los informes de la guardia civil y los peritos “evidencian claramente la existencia de daños intencionados, pues son de tal magnitud y entidad que no pueden responder a otra intención”.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recurrente formuló incidente de nulidad de actuaciones alegando la vulneración del derecho a un proceso con todas las garantías por entender que había sido condenada en la segunda instancia sin respetar la garantía de inmediación y sin que hubiera sido oída. El incidente fue desestimado por Auto de 19 de septiembre de 2012 argumentando, con cita en la STC 153/2011, de 17 de octubre, que la doctrina constitucional permite la revocación de sentencias absolutorias “cuando el nuevo criterio no implique una nueva y distinta valoración de la prueba personal efectuada por el sentenciados de instancia, como aquí ocurre, en donde se ha mantenido el relato fáctico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en su demanda de amparo que se ha vulnerado su derecho a un proceso con todas las garantías (art. 24.2 CE), por entender que había sido condenada en la segunda instancia sin respetar la garantía de inmediación y sin haber sido oída. En la demanda se justifica la especial trascendencia constitucional del recurso con fundamento en que, de conformidad con lo expuesto en el apartado f) del fundamento jurídico 2 de la STC 155/2009, de 25 de junio, el órgano judicial ha incurrido en una negativa manifiesta del deber de acatamiento de la doctrina constitucional. Argumenta que las citan que se hacen en la resolución impugnada de la jurisprudencia constitucional no son aplicables al caso ya que no se trata de una cuestión de estricta calificación jurídica sino que se varían lo hechos probados y se valoran pruebas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8 de mayo de 2013, acordó no admitir el recurso a trámite, con arreglo a lo previsto en el art. 50.1 b) de la Ley Orgánica del Tribunal Constitucional, dado que no apreciaba especial transcendencia constitucional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4 de junio de 2013, interpuso recurso de súplica contra dicha providencia, solicitando que fuera dejada sin efecto y se repusieran las actuaciones para que se decidiera nuevamente sobre la admisión de la demanda de amparo. El Ministerio Fiscal expone que la recurrente fundamenta la especial transcendencia constitucional del recurso en una supuesta negativa manifiesta del deber de acatamiento de la doctrina constitucional [STC 155/2009, FJ 2 f)] y que, efectivamente, no cabe apreciar dicha causa de la especial trascendencia por no concurrir una decisión consciente de incumplimiento deliberado, tal como exige la STC 133/2011. Sin embargo, somete a consideración del Tribunal la apreciación de otros factores de la especial trascendencia constitucional como es la incorrecta aplicación generalizada y reiterada de la doctrina constitucional [STC 155/2009, FJ 2 e)], que considera que se pone de manifiesto, por un lado, en el gran número de sentencias estimatorias de amparo a que ha dado lugar las condena en segunda instancia y, por otro, en que ya hay dos pronunciamientos previos de estimación de recursos de amparo en relación con este mismo órgano jurisdiccional (SSTC 177/2008 y 185/2005). Igualmente, afirma que, en el nuevo marco de la jurisprudencia constitucional establecido por la STC 88/2013, referido al derecho de audiencia del acusado, también la demanda adquiriría especial transcendencia constitucional al permitir al Tribunal Constitucional consolidar y profundizar en esa exigencia, máxime en un supuesto que afecta a al alcance de la revisión en casos de discrepancia sobre el elemento subjetivo del injusto.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 este Tribunal, por diligencia de ordenación de 5 de junio de 2013, acordó dar traslado del recurso de súplica para alegaciones a la demandante, quien por escrito registrado el 12 de junio de 2013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sustenta su recurso de súplica en que no cabe afirmar que el recurso carezca de especial trascendencia constitucional, ya que, si bien es cierto que no concurre la negativa manifiesta al deber de acatamiento de la jurisprudencia constitucional alegada por la recurrente en su demanda de amparo, sí que cabe apreciar una incorrecta aplicación generalizada y reiterada de la doctrina constitucional, que se pondría de manifiesto por (i) el alto número de sentencias estimatorias dictadas por el Tribunal Constitucional sobre el particular y (ii) que este mismo órgano judicial ya ha visto desautorizado su proceder en las SSTC 185/2005 y 177/2008. Igualmente, pone de manifiesto que el recurso permitiría consolidar y perfilar (i) la exigencia de audiencia al acusado en estos casos que ha sido establecida en la STC 88/2013, de 11 de abril, y (ii) los supuestos que afectan al alcance de la revisión cuando la discrepancia se produce sobre el elemento subjetivo del injusto.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esta fase de admisión le corresponde apreciar en cada caso la existencia o inexistencia de esa “especial trascendencia constitucional”, esto es, si el contenido del recurso justifica una decisión sobre el fondo, atendiendo, conforme al art. 50.1 b) de la Ley Orgánica del Tribunal Constitucional, a su importancia para la interpretación de la Constitución, para su aplicación o para su general eficacia y para la determinación del contenido y alcance de los derechos fundamentales (entre las últimas, STC 167/2014, de 22 de octubre de 2014). Esta exigencia, por otra parte, ha sido considerada por el Tribunal Europeo de Derechos Humanos como respetuosa con las garantías del art. 6.1 del Convenio europeo para la protección de los derechos humanos y de las libertades fundamentales (STEDH de 20 de enero de 2015, caso Arribas Anton contra España, §§ 50-52).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esa potestad, este Tribunal, al acordar la inadmisión del presente recurso por falta de especial trascendencia constitucional, ya ponderó la concurrencia de ese requisito de admisibilidad no solo desde la perspectiva alegada por el recurrente de una eventual negativa manifiesta del deber de acatamiento a la jurisprudencia constitucional que, como afirma el Ministerio Fiscal, no cabe apreciarla en este caso, sino también desde el resto de los supuesto destacados en la STC 155/2009, de 25 de junio, FJ 2. Con motivo del recurso de súplica interpuesto por el Ministerio Fiscal, y atendiendo a las concretas causas que alega, este Tribunal debe ahora confirmar su inicial apreciación de que el presente recurso no cuenta con la necesaria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que el presente recurso permitiría consolidar y perfilar la exigencia de audiencia al acusado y las posibilidades de revocación inaudita parte en caso de controversia sobre el elemento subjetivo del delito, hay que afirmar que la jurisprudencia sobre esta exigencia de audiencia, como bien se resume en la citada STC 88/2013, tiene su origen en la STC 184/2009, habiendo sido después aplicada y concretada en numerosas resoluciones (SSTC 45/2011, de 11 de abril, 142/2011, de 26 de septiembre, 153/2011, de 17 de octubre, o 126/2012, de 18 de junio), representado la STC 88/2013 una compilación de pronunciamiento, que tiene su continuidad en las SSTC 157/2013, de 23 de septiembre, y 205/2013, de 5 de diciembre. Por otra parte, también puede verificarse que ya la mayoría de estos pronunciamientos, a coincidencia con el presente, se referían a supuestos en que la cuestión controvertida era, precisamente, la subsunción de un elemento subjetivo del delito (así, SSTC 142/2011, 153/2011, 126/2011, o 88/2013). Por tanto, ante esta proliferación de pronunciamientos no cabe apreciar la necesidad de la admisión de nuevos asuntos con la finalidad de concretar o perfilar una jurisprudencia que ya está consolidada.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tampoco cabe apreciar la alegada inaplicación generalizada y reiterada de esta doctrina constitucional, vinculada al alto número de sentencias estimatorias dictadas por el Tribunal Constitucional sobre el particular o a la circunstancia de que el órgano judicial que dictó la resolución recurrida en el presente recurso de amparo ya ha visto desautorizado su proceder en las SSTC 185/2005 y 177/2008. Este Tribunal desde la inicial STC 167/2002, de 18 de septiembre, ha resuelto un buen número de asuntos para afrontar una cuestión que por su confusa regulación legal había dado lugar a una alta litigiosidad en la jurisdicción de amparo. Ahora bien, desde aquel pronunciamiento no cabe considerar acreditado que, a pesar de que no ha existido ninguna intervención del legislador, no haya existido una modificación general de las prácticas de los órganos judiciales para adecuar su actuación a esta jurisprudencia constitucional en los términos establecidos en el art. 5.1 de la Ley Orgánica del Poder Judicial. De hecho, y por lo que se refiere, al concreto órgano judicial cuya resolución se impugna en el presente recurso de amparo, si bien es cierto lo señalado por el Ministerio Fiscal respecto de las anulación de sus resoluciones en las SSTC 185/2005 y 177/2008, en momentos de consolidación de esta jurisprudencia, también cabe destacar que en la STC 153/2011, de 17 de octubre, se confirmó otra de sus resoluciones.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8 de mayo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