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18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5937-2011 interpuesto por la Generalitat de Catalunya contra los apartados 3 y 5 del art. 4; el apartado 1 del art. 6; el apartado 2 del art. 8 y los anexos III y IV del Real Decreto 804/2011, de 10 de junio, por el que se regula la ordenación zootécnica, sanitaria y de bienestar animal de las explotaciones equinas y se establece el plan sanitario equino. Ha comparecido y formulado alegaciones el Abogado del Estado. Ha sido Ponente la Magistrada Dña.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Tribunal Constitucional el 2 de noviembre de 2011, la Abogada de la Generalitat de Catalunya, en la representación que legalmente ostenta, interpuso conflicto positivo de competencias contra los apartados 3 y 5 del art. 4; el apartado 1 del art. 6; el apartado 2 del art. 8 y los anexos III y IV del Real Decreto 804/2011, de 10 de junio, por el que se regula la ordenación zootécnica, sanitaria y de bienestar animal de las explotaciones equinas y se establece el plan sanitario equino, por considerar que el Estado ha excedido los títulos competenciales que le asisten, vulnerando así las competencias asumidas estatutariamente. Los fundamentos jurídicos en que se sustenta la demanda son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impugnado pretende establecer unas bases comunes para la definición y ordenación del sector, normas de contenido heterogéneo que regulan aspectos diversos como son los zootécnicos, los higiénicos y los sanitarios y que incluye junto a prescripciones obligatorias normas técnicas de detalle o bien obvias y redundantes, o que adolecen de excesiva prolijidad. El Gobierno de la Generalitat no impugna la totalidad de la disposición, sino aquellos apartados de determinados preceptos en los que se incide de forma más penetrante en las competencias autonómicas que vacía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sector equino ha sufrido una importante evolución en los últimos años. Casi abandonado su uso para transporte y trabajo, las actividades más relevantes son las de ocio y deportivas así como el rendimiento cárnico. Se trata de un sector económico que por sí solo tiene una muy escasa entidad, radicando su importancia en las actividades relacionadas con el ocio, turismo rural y servicios con él relacionadas, siendo apenas relevante la industria cárnica en el ámbito de los mercados alimentarios, en comparación con otras producciones cárnicas, cuyo peso en el conjunto de la ganadería es mayor. Su incidencia en la sanidad es, por tanto, ínfima y difícilmente podrá afectar a la salud humana. Por tanto, una regulación consistente en las condiciones de alojamiento de los caballos o el contenido de los libros de explotación tiene poco que ver con la competencia estatal en materia de sanidad o bases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títulos competenciales que invoca el Real Decreto impugnado en su disposición final segunda son la ordenación general de la economía y las bases y coordinación de la sanidad. De otra parte, los títulos autonómicos de aplicación son: (i) la competencia exclusiva en materia de ganadería [art. 116.1 d) del Estatuto de Autonomía de Cataluña (EAC)] que incluye la sanidad vegetal y animal, cuando no tengan efectos sobre la salud humana y la protección de los animales, en el respeto a lo que establezca el Estado en ejercicio de sus competencias de los apartados 13 y 16 del art. 149.1 CE; (ii) la competencia compartida de ordenación, planificación, la determinación, regulación y ejecución de actuaciones dirigidas a preservar y promover la salud pública que incluye la sanidad animal con efectos sobre la salud humana, la sanidad alimentaria y ambiental y la vigilancia epidemiológica [art. 162.3 b) EAC], y finalmente (iii) la competencia de planificación, ordenación y promoción de la actividad económica (art. 152 EAC). De acuerdo con la doctrina constitucional, el alcance material de cada uno de los títulos estatales concretos debe determinarse sobre la base de su contenido y las finalidades que persigue. El art. 149.1.13 CE habilita al Estado para regular e incluso adoptar las medidas necesarias para integrar la agricultura de la Comunidad Autónoma en la política general (STC 80/1985, de 4 de julio), competencia que comprende la aprobación de las directrices y criterios globales de ordenación de un sector concreto y las medidas singulares que sean necesarias para alcanzar los fines propuestos dentro de la ordenación de cada sector. Se trata, por tanto, de una materia de competencia compartida, debiendo primar la competencia autonómica, cuando no se advierta una directa y significativa incidencia sobre la actividad económica general (STC 112/1995, de 6 de julio y 128/1999, de 1 de julio). 	De otro lado, la conexión entre sanidad y sanidad animal ha sido establecida por la doctrina constitucional en la STC 192/1990, de 29 de noviembre FJ 2, sin perjuicio de lo cual debe tenerse en cuenta que el alcance de esta competencia básica no puede desplazar las competencias autonómicas de desarrollo normativo y ejecución de los controles.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expuesto, la demanda analiza de forma pormenorizada cada uno de los preceptos impugnados. El apartado 3 del art. 4 establece las condiciones generales de las construcciones e instalaciones. En algunos casos se trata de especificaciones innecesarias por obvias, en otros casos disposiciones de buenas prácticas en el ejercicio de la actividad que no tienen conexión alguna ni con la economía ni con la sanidad, correspondiendo de lleno a la materia ganadería. La extralimitación se puede deducir si se compara con el contenido de la Ley 8/2003, de 24 de abril, de sanidad animal, cuando regula las condiciones sanitarias básicas que deben cumplirse en las explotaciones animales (arts. 36.2 y 37), remitiéndose a la normativa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4.5 se refiere a las condiciones para garantizar el bienestar animal que se introduce con la salvaguarda de la Ley 32/2007, de 7 de noviembre, para el cuidado de los animales en su explotación, transporte y sacrificio. Las condiciones que se establecen adolecen de ser obviedades o redundancias y no tienen cabida en los títulos genéricos del art. 149.1.13 y 16 CE, contrastando con la regulación establecida en otro apartado del mismo precepto, que no se discute, relativo a las condiciones higiénico-sanitarias. El bienestar animal, que tiene por finalidad ahorrar dolor y sufrimiento en la explotación del ganado, tiene su regulación básica en otra ley distinta la cual al referirse a las explotaciones de animales encomienda a las Administraciones públicas que adopten las medidas necesarias para asegurar el bienestar.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6.1 regula el libro de explotación, que tendrá el formato que se apruebe por la autoridad competente y los datos mínimos que se indican en el anexo IV, mientas que la Ley 8/2003 se limita a exigir un libro de explotación, que contenga los datos exigidos por la normativa aplicable debiéndose mantener actualizado. Esta referencia de la Ley 8/2003 lo es a la normativa sectorial que corresponde a la Comunidad Autónoma en materia de sanidad animal [art. 116.1 d) EAC], teniendo en cuenta, además, que el empleo de este documento para el control informativo de determinados aspectos de la explotación ganadera es instrumental para el ejercicio de las competencias que corresponde 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8.2 regula el programa de control, estableciendo que se realizará de acuerdo con lo dispuesto en las partes I y II del anexo III. Se trata de actuaciones sobre determinadas enfermedades equinas, concretando periodicidades en los controles, toma de muestras, etc. Son todas ellas operaciones que se enmarcan en las funciones de ejecución que corresponde a la Comunidad Autónoma, siendo así que el precepto impugnado no se limita a establecer reglas generales, sino que regula de forma acabada el modo y manera de realizar los controles, condicionando la competencia ejecutiva de la Comunidad Autónoma. Se trata, por otra parte, de actuaciones que se refieren a enfermedades que no tienen incidencia sobre la salud humana y que no requerirían de una regulación y coordinación de la intensidad de la aquí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22 de noviembre de 2011, el Pleno del Tribunal Constitucional acordó admitir a trámite el conflicto positivo de competencias; dar traslado de la demanda para personación y alegaciones al Gobierno de la Nación; comunicar la incoación a la Sala de lo Contencioso-Administrativo del Tribunal Supremo, y publicar la incoación en el “Boletín Oficial del Estado” y en el diario oficial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11 de enero de 2012, el Abogado del Estado, actuando en representación del Gobierno del Estado, presentó sus alegaciones en el Tribunal Constitucional. Comienza en la contestación a la demanda recordando que el problema suscitado en este conflicto es, una vez más, la incidencia de las competencias estatales en las asumidas estatutariamente como exclusivas o compartidas, aspecto sobre el que ha fijado doctrina en la STC 31/2010, FFJJ 59, 60 y 64. De esta forma, la asunción por la Comunidad Autónoma de las competencias de los arts. 116.1 d) y b) y 162.3 EAC no pueden limitar las competencias que asisten al Estado, debiendo tenerse en cuenta que las obligaciones internacionales asumidas por el Estado obligan a reforzar la homogeneización de los aspectos técnicos y operativos. Cita la Directiva 98/58 del Consejo, de 20 de julio de 2000, mediante la que se traspuso al Derecho europeo el Convenio europeo de protección de animales en explotaciones ganaderas, el Reglamento (CE) 504/2008, de la Comisión por el que se aplican las Directivas 90/426/CEE y 90/427/CEE sobre identificación de équidos, el reglamento (CE) 1099/2009, del Consejo, sobre protección de los animales en el momento de la matanza y la Directiva 92/102/CEE que dio lugar al Real Decreto 479/2004, de 26 de marzo por el que se establece y regula el registro general de explotaciones ganaderas (REGA).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cumplimiento de unas condiciones mínimas de construcción, ubicación, higiénico sanitarias y de bienestar animal constituye pieza clave de este tipo de explotaciones, presentes en zonas rurales y urbanas, en desarrollo de los arts. 25, 36, 54 y 56 de la Ley 8/2003, de sanidad animal y de los arts. 4 y 6 de la Ley 32/2007, para el cuidado de los animales en su explotación. Se trata de una norma básica de desarrollo de dos leyes, hallándose la concreta habilitación en la disposición adicional quinta de la Ley 8/2003 y en el art. 4 de la Ley 33/2007, y ambas leyes son dictadas en ejercicio de competencias básicas. Frente a lo razonado por la demanda, entiende el Abogado del Estado, que concurren dos títulos competenciales para el dictado de los preceptos impugnados, de donde se extrae la aplicación de la técnica de la coordinación y no solo la relación bases-desarrollo. Tras explicar el alcance que en la doctrina constitucional se ha dado al título competencial del art. 149.1.13 CE, señala que el sector equino es el más diverso que existe en el ámbito ganadero, de una importancia económica del 0,2 por 100 de la producción final agraria (84,3 millones de euros en 2010), siendo las rentas obtenidas por actividades relacionadas entre 700 y 800 millones de euros. Es manifiesto, en consecuencia, que concurre el citado título competencial para el dictado de la norma impugnada. Por otra parte, tras explicar el contenido del art. 149.1.16 CE y de las bases en materia sanitaria, destaca la vinculación de la norma impugnada con la mejora sanitaria de las explotaciones y con la propia salud humana, y la posibilidad de que las bases desempeñen una labor de coordinación (STC 27/1987, de 27 de febrero) para conseguir la integración de una diversidad de intereses contrapuestos de distintas Comunidades Autónomas para la protección del sector equino. En relación con las epizootias, y en contra de lo alegado en la demanda, las enfermedades expresamente previstas en el anexo II son zoonóticas y con una elevada tasa de mortalidad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concreto sobre los preceptos impugnados, considera que el art. 4.3 es un desarrollo de los arts. 36, 37, 53 y 54 de la Ley 8/2003, que ofrece una mínima regulación para cada una de las condiciones que recoge por lo que no impide a las Comunidades Autónomas su competencia de desarrollo normativo. Forman parte de la competencia estatal ex art. 149.1.16 CE la regulación de aspectos tales como la concreción del área en que se realizará la explotación, así como los métodos de aislamiento del exterior, control eficaz de entradas y salidas; formas y condiciones de la correcta limpieza y desinfección de vehículos; calzado de operarios y visitantes, locales y material y utensilios en contacto con los animales, método de garantizar el agua en cantidad y calidad; sistemas apropiados para el manejo de animales; ubicación y tamaño del material de construcción; medios adecuados de aislamiento de animales sospechosos de estar afectados por enfermedades contagiosas, forma y tamaño de los estercoleros, si en las concentraciones deben o no disponer de dispositivos de ducha para caballos y asistencia veterinaria y en tal caso sus características. Resultan de plena aplicación los razonamientos de las SSTC 158/2011 y 162/2011, que encuadran en la materia básica la regulación de las condiciones de funcionamiento de las explotaciones. El art. 4.3 es, por tanto formal y materialmente básico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4.5 desarrolla para el sector equino las condiciones necesarias para garantizar el bienestar animal, y utiliza las mismas expresiones genéricas y abiertas que fácilmente permiten apreciar la posibilidad de un posterior desarrollo normativo. Se inscribe en la materia sanidad, pues se dirige a mejorar la sanidad animal estableciendo unas mínimas medidas preventivas, y es formal y materialmente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la demanda como principal razón impugnatoria del art. 6.1 y del anexo IV la previa existencia de una regulación autonómica del libro de explotación, pero ello es irrelevante para invalidar la regulación básica posterior. Ambos vienen a desarrollar lo dispuesto en los arts. 38.2, 39 y 56.2 de la Ley 8/2003. Se trata de una regulación de mínimos que tiene, además, un carácter flexible pues el párrafo segundo establece determinadas excepciones y la posibilidad de que las autoridades competentes eximan su llevanza a cierto tipo de explotaciones, mientras que los datos que deben figurar son mínimos, sin que el libro de explotación cumpla una función meramente instrumental. Al contrario, este contenido mínimo sirve para garantizar la trazabilidad de la carne de équidos debiendo incardinarse en la materia sanidad, tal y como señala la STC 158/2011.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8.2 y el anexo III del Real Decreto 804/2011, señala el Abogado del Estado que a pesar del marcado carácter técnico que concurre en el precepto impugnado y que le obliga a ser extenso para definir las materias que comprende, deja amplio margen para el desarrollo normativo. Además los programas del Anexo III son voluntarios, solo se aplican a un reducido número de animales —aquellos que se destinen a la monta natural— siendo el único efecto el de impedir que los animales que adolezcan de una calificación sanitaria oficial frente a ambas enfermedades puedan ser destinados a este tipo de monta. A las calificaciones sanitarias se refiere el art. 44 de la Ley 8/2003. Estas se obtienen por la realización de una serie de pruebas que el anexo II detalla. En lo que se refiere a los controles analíticos con toma de muestras, el anexo III se limita a reproducir el manual de pruebas de diagnóstico y de las vacunas de la Organización Mundial de la Salud. Se trata de una medida técnica indispensable para garantizar la homogeneidad técnica que haga posible la coordinación (STC 32/1983,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marzo de 2015,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cuestiona en este proceso la constitucionalidad de los apartados 3 y 5 del art. 4; el apartado 1 del art. 6; el apartado 2 del art. 8 y los anexos III y IV del Real Decreto 804/2011, de 10 de junio, por el que se regula la ordenación zootécnica, sanitaria y de bienestar animal de las explotaciones equinas y se establece el plan sanitario equino. Entiende la Comunidad Autónoma recurrente que el Estado ha excedido sus títulos competenciales vulnerando las competencias asumidas estatutariamente. Por el contrario, el Abogado del Estado sostiene que todos los preceptos impugnados son manifestación del correcto ejercicio de la competencia que atribuye al Estado el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este conflicto debemos comenzar por realizar su encuadramiento competencial. La Generalitat de Catalunya no discute que la norma impugnada se haya dictado en ejercicio de las competencias que ostenta el Estado ex art. 149.1.13 y 16 CE, tal y como establece la disposición final segunda del Real Decreto 804/2011. Su discurso gira en torno a que los concretos preceptos impugnados han sido dictados en ejercicio de la competencia básica en materia de sanidad, que ha sido extravasada por el Estado, dada en algunos casos la obviedad y redundancia de sus determinaciones y, en otros, su prolijidad. El Abogado del Estado, aunque inicialmente señala que concurren ambos títulos competenciales para el dictado de la norma, después, al analizar los preceptos recurridos, se refiere única y exclusivamente al contemplado en el art. 149.1.16 CE, esto es, a la competencia del Estado en materia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tal y como ha reconocido la doctrina constitucional, la competencia estatal de bases y coordinación de la planificación de la economía se proyecta en el subsector de la ganadería, habida cuenta de la relación reconocida y expresa que tiene con la política económica general (SSTC 145/1989, FJ 5; 158/2011, de 19 de octubre, FJ 8 y 207/2011, de 20 de diciembre, FJ 7). Así, este Tribunal ha afirmado que corresponde al Estado, en virtud de su competencia de ordenación general de la economía, establecer las directrices globales de ordenación y regulación del mercado agropecuario nacional,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su propia agricultura y ganadería no supongan interferencia negativa o distorsionen la ordenación general establecida por el Estado, sino más bien que sean coadyuvantes o inocuas para esta ordenación estatal. Y, junto a ello, este Tribunal ha reconocido la competencia autonómica para adoptar las disposiciones necesarias en complemento del derecho comunitario europeo y para ejecutar y aplicar en su ámbito territorial normativa comunitaria siempre que, ratione materiae, las Comunidades Autónomas ostenten esa competencia y no rebasen la linde establecida por la normativa comunitaria y la estatal básica o de coordinación (STC 104/2013, de 25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doctrina constitucional ha puesto de manifiesto el juego del título competencial del art. 149.1.16 CE, en el subsector ganadería (entre otras SSTC 32/1983, de 28 de abril, FJ 3, y158/2011, de 19 de octubre, FJ 10). Así lo reconoció este Tribunal al afirmar que las epizootias que hayan de afectar al ganado se inscriben competencialmente en la materia de sanidad (SSTC 32/1983, de 28 de abril, FJ 3, y 192/1990, de 29 de noviembre, FJ 2), competencia que comprende también las medidas de prevención y lucha contra las enfermedades de los animales, tal y como ha afirmado la STC 158/2011, de 19 de octubre, FJ 10. La competencia estatal de sanidad incluye el establecimiento de las bases y la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116.1 d) del Estatuto de Autonomía de Cataluña (EAC) atribuye en exclusiva a la Comunidad autónoma recurrente la sanidad animal cuando no tenga efectos sobre la salud humana y la protección de los animales. Al mismo tiempo, la competencia compartida en materia de sanidad y salud pública incluye la sanidad animal con efectos sobre la salud humana [art. 162.3 b) EAC]. De ello hay que entender que la competencia sobre sanidad animal en el sector ganadero es sustancialmente una competencia sanitaria aunque se proyecte en éste ámbito. Tal y como precisó la STC 31/2010, FFJJ 59, 60 y 64, la asunción por la Comunidad Autónoma de competencias exclusivas no impide el ejercicio de las exclusivas del Estado ex art. 149.1 CE, sea cuando éstas concurren con las autonómicas sobre el mismo espacio físico u objeto jurídico, sea cuando se trate de materias de competencia compartida, cualquiera que sea la utilización de los términos “competencia exclusiva” o “competencias exclusivas” en los preceptos del Estatuto. En aplicación de esta doctrina, las competencias asumidas por la Comunidad Autónoma en el apartado d) del art. 116.1 EAC están limitadas por las citadas competencias estatales, y así lo tuvo en cuenta la STC 6/2014, de 27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afirmado, cabe señalar que, a la hora de abordar la acomodación de los concretos preceptos impugnados al orden constitucional de competencias, debe partirse de la más específica en que estos se sustentan que es, por otra parte, la técnica utilizada en la Sentencia más reciente en materia de ganadería, la STC 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esta labor, que acometeremos en los siguientes fundamentos jurídicos, se tendrá en cuenta el contenido de los preceptos impugnados y la finalidad que éstos persiguen, no sin antes rechazar el argumento de la Abogacía del Estado, según el cual el alcance de las competencias estatales sería más intenso dado que las obligaciones internacionales asumidas por el Estado obligan a reforzar la homogeneización de los aspectos técnicos y operativos. Pues bien, el reparto interno de competencias no viene prejuzgado por el Derecho comunitario europeo que, salvo excepción, reconoce a los Estados miembros plena autonomía para ordenar la organización interna y el procedimiento destinado al desarrollo y ejecución del Derecho europeo conforme a las propias normas nacionales. En conclusión, este tipo de cuestiones deben resolverse exclusivamente conforme a las normas constitucionales y estatutarias de distribución de competencias, tal y como este Tribunal ha señalado en reiteradas ocasiones. En concreto, en materia de ganadería, cabe citar por todas la STC 79/1992, de 28 de mayo,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impugna el apartado 3 del art. 4 del Real Decreto 804/2011, “condiciones generales de las construcciones e instalaciones”,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explotación se situará en un área delimitada, aislada del exterior y que permita un control eficaz de entradas y salidas de vehículos, personas y animales mediante un vallado perimetral o sistemas equivalentes.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explotación dispondrá de un sistema apropiado a las características de cada explotación para la correcta limpieza y desinfección de vehículos, calzado de los operarios y visitantes, y locales, material y utensilios que están en contacto con los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Deberán disponer de agua en cantidad y calidad higiénica adecuadas para los animales y de dispositivos de reserva de agua o sistemas equivalentes que aseguren su suministro adecuado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Deberán disponer de sistemas apropiados de manejo de los animales, diseñados para facilitar la aplicación de medidas zootécnicas así como los trabajos de identificación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Dispondrán de un almacén o área destinada específicamente al almacenamiento de piensos que evite su deterioro, la contaminación por agentes exógenos y el acceso de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Contarán con medios adecuados para la observación y aislamiento de animales sospechosos de estar infectados por enfermedades infecciosas o infectados por las mismas, con arreglo a las características de la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Para la gestión de los estiércoles generados en las instalaciones de estabulación, deberán disponer de estercoleros impermeabilizados natural o artificialmente, que eviten el riesgo de filtración y contaminación de las aguas superficiales o subterráneas, con capacidad suficiente para permitir la gestión adecuada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el caso de concentraciones de équidos para concursos o competiciones o para actividades de carácter lúdico o cultural deberán, si la autoridad competente así lo considera necesario, disponer de dispositivos de ducha para caballos y tener acceso a asistencia veterinaria.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lo previsto en la letra a) no será de aplicación a las poblaciones de équidos que vivan en condiciones silvestres o semi-silvestres, lo previsto en las letras b), e), f) y g) no serán de aplicación a las explotaciones equinas extensivas, y lo establecido en las letras b), d), e) y f) g) no serán de aplicación a las explotaciones equinas de pequeña capacidad aunque deberán realizar una adecuada gestión de estiércoles.”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impugnado desarrolla los arts. 36, 37 y 54 de la Ley 8/2003, de sanidad animal. En concreto el art. 36.2 de dicha Ley prevé que las condiciones sanitarias básicas que deben cumplir las explotaciones de animales serán las que establezca la normativa vigente. En todo caso, las explotaciones intensivas y los alojamientos en las extensivas deberán estar aislados, de tal forma que se limite y regule sanitariamente el libre acceso de personas, animales y vehículos. El art. 37 establece que cualquier actividad de explotación animal estará supeditada a la eliminación higiénica de efluentes, subproductos de explotación, residuos de especial tratamiento y cadáveres, de acuerdo con las normas de sanidad animal, salud pública y protección del medio ambiente. Finalmente el art. 54 al regular los requisitos para la autorización de certámenes pecuarios, que corresponde al órgano competente de la Comunidad Autónoma en que radiquen, exige que tengan un emplazamiento higiénico, con unas instalaciones adecuadas, y estar distanciados de explotaciones ganaderas o instalaciones que puedan ser fuente o vehículo de enfermedades de los animales; disponer de medios humanos, materiales y técnicos necesarios para asegurar el correcto desarrollo del certamen, así como un centro de limpieza y desinfección en, al menos, los certámenes de ganado de carácter nacional o en los que se pretenda destinar los animales a comercio intracomunitario. Este precepto remite al reglamento para el resto de requisitos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su contenido, no cabe duda de que la competencia estatal que se relaciona más efectivamente con el apartado impugnado es la sanidad, materia en la que el Estado dispone, ex art. 149.1.16 CE, de la capacidad para establecer las normas básicas y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inclusión de normas básicas en una disposición reglamentaria obliga a determinar si son formal y materialmente básicas. La disposición final quinta de la Ley 8/2003 autoriza al Gobierno a dictar cuantas disposiciones sean precisas para la aplicación y desarrollo de esta Ley, de manera que una interpretación sistemática de la misma debe llevar a entender que la remisión a la “normativa vigente” que realiza el art. 36.2 para la determinación de las condiciones sanitarias básicas, o la llamada del art. 37 a las “normas de sanidad animal”, o finalmente la remisión al reglamento para completar los requisitos exigidos a los certámenes, lejos de establecer una reserva de competencia autonómica, como alega la Comunidad recurrente, incluye el desarrollo por el Gobierno, en una materia esencialmente técnica, de lo regulado en la propia ley en lo que sea preciso para garantizar el mínimo denominador común de aplicación en todo el territorio, que es, en definitiva, lo que supone la legislación básica. Ello no es óbice para que, aun cuando lo básico pueda, como ocurre en este caso, tener acomodo en una norma reglamentaria, le sea exigible, como a las leyes, que su carácter básico se declare expresamente en la norma o se infiera de su estructura en la misma medida para evitar elementos de confusión e incertidumbre (STC 158/2011, de 19 de octubre, FJ 7). Este requisito se ve satisfecho por la disposición final segunda del Real Decreto cuestionado cuando establece que se dicta al amparo de lo dispuesto en el artículo 149.1.13 y 16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señalado conduce a considerar que la Ley 8/2003 otorga cobertura al precepto impugnado, en cuanto que establece, para un concreto tipo de explotaciones ganaderas, las equinas, prescripciones técnicas sanitarias y relativas al tratamiento para la eliminación de un tipo de subproducto, el estiércol, directamente relacionado con la sanidad animal y humana, con el medio ambiente etc. Ello, junto con la afirmación de su carácter básico por la disposición final segunda del reglamento impugnado, permite entender justificado el cumplimiento de las exigencias de la normativa básica desde la perspectiva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Materialmente, todas estas medidas —aislamiento y control de entradas; sistema de limpieza y desinfección; agua; sistemas de tratamiento de animales adaptados a la aplicación de medidas zootécnicas; aislamiento de alimentos para caballos; observación de animales sintomáticos, medidas de limpieza de équidos en los certámenes y medidas de eliminación del estiércol— tienen la finalidad de minimizar los riesgos sanitarios y medioambientales de todo orden que generan estas explotaciones y la eliminación de sus residuos. Ahora bien, como recuerdan las SSTC 207/2011, de 20 de diciembre, FJ 8, y 158/2011, FJ 10, estas normas básicas deben ser de mínimos, pudiendo ser completadas con mayor rigor de protección por las Comunidades Autónomas sin que lo básico tenga vetado la regulación de lo obvio, redundante o propio del sentido común, pues corresponde al Estado definir el contenido material de lo básico siempre que se respeten los límites anteriormente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las prescripciones que contiene el apartado impugnado utilizan conceptos indeterminados que permiten su concreción por la Comunidad Autónoma a quien corresponde la definición de los sistemas de cerramiento equivalentes al vallado, de los controles eficaces de salidas; de los sistemas de desinfección, de la cantidad y calidad del agua, de los sistemas de manejo de animales, de las características del almacén de piensos, de los medios para la observación de los animales, de las formas de impermeabilización de estercoleros y su capacidad,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apartado 3 del art. 4 del Real Decreto 804/2011 no vulnera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impugna el apartado 5 del art. 4, “condiciones para garantizar el bienestar animal”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previsto en la Ley 32/2007, de 7 de noviembre, para el cuidado de los animales en su explotación, transporte y sacrificio, deberán cumplirse los siguientes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explotaciones dispondrán de instalaciones o sistemas apropiados que permitan, en la medida en que sea necesario y posible, la protección contra las inclemencias del tiempo y los depredadores.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materiales que se utilicen para la construcción, en particular de recintos y de equipos con los que los animales puedan estar en contacto, no deberán ser perjudiciales para los animales y deberán poderse limpiar y desinfectar a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instalaciones para alojar a los animales se construirán y mantendrán de forma que no presenten bordes afilados ni salientes, que puedan causar heridas a los animales, y que contemplen el necesario vallado en función del tipo de explotación, salvo, en este último caso, en las explotaciones extensivas, pastos y de animales silvestres o semisilvestres.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interior de las construcciones donde se alojen animales, la circulación del aire, el nivel de polvo, la temperatura, la humedad relativa del aire y la concentración de gases deben mantenerse dentro de los límites que no sean perjudiciales.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se limitará la libertad de movimientos propia de los animales de manera que se les cause sufrimiento o daños innecesarios, teniendo en cuenta la edad del animal y su estado fisiológico.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animales deberán recibir una alimentación sana, que sea adecuada a su edad y especie y en suficiente cantidad con el fin de mantener su buen estado de salud y de satisfacer sus necesidades de nutrición. Todos los animales deberán tener acceso al agua, en cantidad y calidad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 más directamente afectada en este caso es la sanidad animal, en la que debe circunscribirse el bienestar animal por la estrecha relación que guarda con ésta. En concreto, el art. 4 de la Ley 32/2007, de 7 de noviembre, para el cuidado de los animales, en su explotación, transporte, experimentación y sacrificio, determina que las Administraciones públicas adoptarán las medidas necesarias para asegurar que, en las explotaciones, los animales no padezcan dolores, sufrimientos o daños inútiles, para lo que se tendrá en cuenta su especie y grado de desarrollo, adaptación y domesticación, así como sus necesidades fisiológicas y etiológicas, de acuerdo con la experiencia adquirida, los conocimientos científicos y la normativa comunitaria y nacional de aplicación en cada caso. La disposición sexta de esta Ley autoriza al Gobierno, en el ámbito de las competencias del Estado, a dictar cuantas disposiciones sean precisas para la aplicación y desarrollo de esta Ley, y en particular, para concretar el régimen de infracciones y sanciones dispuesto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concluir, por las mismas razones señaladas en relación al apartado cuarto de este mismo precepto, que esta regulación es formal y materialmente básica. Lo es formalmente a la vista de la remisión que la disposición final sexta realiza al desarrollo reglamentario del Gobierno sin perjuicio de la competencia de las Administraciones competentes para su desarrollo, y de la disposición final segunda del reglamento impugnado que afirma su carácter básico. Materialmente, porque todas las prescripciones establecidas en el apartado impugnado tienden a garantizar que los équidos no sufran dolor, padecimiento o daños inútiles, dejando un amplio margen de desarrollo normativo a las Comunidades Autónomas, ya que los conceptos jurídicos indeterminados que se utilizan para la determinación de las bases, tales como instalaciones apropiadas; materiales no perjudiciales, límites que no sean perjudiciales, edad del animal y estado fisiológico etc. permiten su concreción por la Comunidad Autónoma. Esta conclusión se ve corroborada, a mayor abundamiento, por la propia recurrente cuando afirma que se trata de obviedades y redundancias y que, precisamente por ello, no tienen cabida en el título de lo básico. En razón de lo expuesto, el apartado 5 del art. 4 del Real Decreto 804/2011 no vulnera las competencias de la Comunidad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6.1 del reglamento impugnado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libro de explotación, que podrá ser llevado de forma electrónica, deberá tener un formato aprobado por la autoridad competente y deberá contener los datos mínimos que se indican en el anexo IV. No obstante lo anterior, el libro de explotación de los mataderos podrá no incluir los datos contenidos en los párrafos b), f), g), j), k) y l) del anexo IV, debiendo, además, en cualquier caso, retener el DIE del animal sacrificado, y hacer constar en el libro de explotación que se ha comprobado que en el DIE adjunto consta expresamente, en la parte II de su sección IX, que se trata de un animal destinado desde su origen al sacrificio para consumo humano. Lo señalado en este apartado se entenderá sin perjuicio del resto de comprobaciones de las restantes secciones del DIE y sin perjuicio del resto de información que debe tener en su poder a efectos del cumplimiento del Real Decreto 361/2009, de 20 de marzo, por el que se regula la información sobre la cadena alimentaria que debe acompañar a los animales destinados a sacrificio, y de acreditación de lo exigido en el Real Decreto 54/1995, de 20 de enero, sobre protección de los animales en el momento de su sacrificio o matanza y, en este último caso, a 	partir del 1 de enero de 2013, en el Reglamento (CE) n.º 1099/2009, del Consejo, de 24 de septiembre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del anexo IV titulado “contenido mínimo del Libro de explotación",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Código REGA de la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Nombre, coordenadas geográficas y/o dirección de la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Identificación del titular, NIF, pasaporte o tarjeta de residencia, dirección completa y, en su caso, teléfono fijo y/o móvil, y/o fax.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Códigos de identificación de los animales presentes en la explotación, de acuerdo con lo establecido en el Real Decreto1515/2009, de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Especie, sexo, raza y fecha de nacimiento del animal.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Inspecciones y controles: fecha de realización, motivo, número de acta, en su caso, e identificación 	del veterinario actuante.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Nacimientos y muertes en la explotación con la fecha del suceso.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Posibles incidencias en la identificación de los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Entrada de animales: fecha, código de la explotación de procedencia, identificación del animal número de guía, certificado sanitario o documento de traslado, identificación del transportista y número de matrícula del vehículo y, en su caso, de la parte del medio de transporte que contenga a los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Salida de animales: fecha, código de la explotación de destino, identificación del animal y número de guía, certificado sanitario o documento de traslado.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Identificación de las personas al cuidado de los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Nombre, apellidos y firma del representante de las autoridades competentes que haya comprobado el 	registro y la fecha en la que se llevó a cabo la comprobación.”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6.1 impugnado así como el anexo, que determina el contenido mínimo del libro de explotación, deben analizarse en el contexto que establece la Ley 8/2003, de sanidad animal. El art. 38 de la citada Ley regula el registro y libro de explotación, sobre el que tienen competencias las Comunidades Autónomas en la que radiquen las explotaciones, aunque contempla la existencia de un registro nacional de carácter informativo, directamente relacionado con el sistema de identificación (art. 39 de la Ley 8/2003) de las especies animales a la que nuestro Estado viene obligado por la Directiva 92/102/CEE del Consejo, de 27 de noviembre de 1992, relativa a la identificación y al registro de animales, incorporada al ordenamiento jurídico español por el Real Decreto 205/1996, de 9 de febrero, por el que se establece un sistema de identificación y registro de las especies bovina, porcina, ovina y caprina. Esta obligación del derecho europeo ha sido ampliada por el Estado español, en la Ley de sanidad, a todas las explotaciones ganaderas ubicadas en España, siendo el Real Decreto 479/2004, de 26 de marzo, el que regula este registro (REGA) así como los datos necesarios para llevar a cabo las inscripciones y la caracterización del código de identificación de cada explotación. El registro general de explotaciones ganaderas se nutre de los datos obrantes en los registros gestionados por los órganos competentes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 en la que se inscribe el apartado impugnado tiene, en consecuencia, directa conexión con la sanidad animal a la que sirve la identificación de las especies, pues tal y como este Tribunal afirmó en la STC 158/2011, de 19 de octubre, FJ 11: “No existe duda, por tanto, que la identificación del ganado forma parte de un conjunto de medidas sanitarias dirigidas a la prevención y lucha contra las enfermedades de los animales, siendo más específica esta finalidad que otras de orden económico o medioambiental que, sin duda, también están presentes”. El apartado impugnado es formalmente básico, pues constituye un desarrollo para las explotaciones equinas de la previsión de los arts. 38 y 39 de la Ley 8/2003, amparado por la disposición final quinta de esta norma legal. Y es materialmente básico pues se limita a establecer cuándo es exigible, a determinar que podrá ser llevado de forma electrónica, que deberá tener un formato aprobado por la autoridad competente y deberá contener los datos mínimos que se indican en el anexo IV, según el tipo de explotación, dejando un margen de desarrollo normativo a las Comunidades Autónomas. En concreto, es necesaria la determinación de los datos mínimos para que el registro general de explotaciones ganaderas pueda cumplir su función informativa, sin perjuicio de que la Comunidad Autónoma recurrente pueda ampliarlos en aquello que considere necesario para el ejercicio de sus competencias y, en especial, de la asumida en materia de ganadería.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 el apartado 2 del art. 8 del Real Decreto 804/2011 (“El programa de control se realizará de acuerdo a lo establecido en las partes I y II del anexo III”) y el anexo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inscribe en el art. 8, relativo a los programas sanitarios de control oficial de enfermedades equinas y de vigilancia epizootiológica, cuya ejecución corresponde a la Comunidad Autónoma. El anexo III regula los programas de control oficial frente a dos enfermedades de transmisión sexual, la arteritis viral equina (parte I) y la metritis contagiosa equina (parte II), estableciendo qué caballos, de todos los reproductores, están sujetos al programa —los destinados a la monta natural—, la periodicidad del control analítico y las condiciones para realizarlo, las técnicas analíticas a utilizar para la identificación del virus; las calificaciones sanitarias; las normas para la cubrición, y el protocolo sanitario para realizar las vacunaciones.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 afectada es sin duda la sanidad, en la que se inscriben las enfermedades animales y las técnicas preventivas de las mismas (STC 158/2011, de 19 de octubre, FJ 10). Alega la Comunidad recurrente que el art. 8.2, puesto en relación con el anexo III, establece una regulación de las competencias de ejecución autonómicas que determina su ejercicio cuando se trata de enfermedades que no tienen incidencia sobre la salud humana por lo que no requerirían de una función de coordinación tan intensa.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función de coordinación, en concreto en materia sanitaria, este Tribunal ya afirmó en la STC 32/1983, de 28 de abril, FJ 2 que persigue la integración de la diversidad de las partes o subsistemas en el conjunto, evitando contradicciones y reduciendo disfunciones que, de subsistir, impedirían o dificultarían respectivamente la realidad misma del sistema. Por ello, aunque constituye un reforzamiento o complemento de la noción de bases, es una competencia distinta a la de fijación de las bases, y presupone lógicamente que hay algo que debe ser coordinado, esto es, presupone la existencia de competencias de las Comunidades Autónomas en materia de sanidad. El Estado, al coordinarlas, debe obviamente respetarlas, pues ni la fijación de bases ni la coordinación general deben llegar a tal grado de desarrollo que dejen vacías de contenido las correspondientes competencias de las Comunidades Autónomas. En definitiva, debe ser entendida como la fijación de medios y de sistemas de relación que hagan posible la información recíproca, la homogeneidad técnica en determinados aspectos y la acción conjunta de las autoridades sanitarias estatales y comunitarias en el ejercicio de sus respectivas competencias de tal modo que se logre la integración de actos parciales en la globalidad del sistema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observarse que la regulación técnica que incluye el anexo III sólo afecta al control de la arteritis viral equina y la metritis contagiosa equina, quedando el resto de las enfermedades mencionadas en el anexo II sujetas a los programas de vigilancia epizootiológica que las Comunidades Autónomas establezcan. Si a ello se añade que los programas afectan a un número muy limitado de animales y contienen normativa técnica que pretende garantizar, a través incluso de la remisión a protocolos internacionales de los sistemas de análisis, la fiabilidad de los controles a efectos de impedir la extensión de estas dos enfermedades, no cabe afirmar que las competencias de ejecución de la Comunidad Autónoma en materia de vigilancia sanitaria animal hayan sido predeterminadas o vaciadas de contenido. Por tanto, ni el art. 8.2 ni el anexo III del reglamento impugnado vulneran las competencias de la Comunidad Autónoma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positivo de competencias interpuesto por la Generalitat de Catalunya.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Fernando Valdés Dal-Ré a la Sentencia dictada en el conflicto positivo de competencia núm. 5937-2011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(LOTC) y con pleno respeto a la opinión de la mayoría del Tribunal, debemos manifestar nuestra discrepancia con la Sentencia dictada, por las razones ya defendidas en su momento durante la deliberación y que expresamos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consideramos que la Sentencia hubiera debido abordar el encuadramiento de la presente controversia en el sistema material de distribución de competencias entre el Estado y las Comunidades Autónomas de forma mucho más precisa y cuidadosa en relación tanto con los preceptos constitucionales y estatutarios aplicables como con la doctrina constitucional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aborda esta cuestión en su fundamento jurídico 2 y lo hace de una forma extremadamente somera, sin examinar con el detalle y la precisión que hubieran resultado necesarios, los títulos autonómicos que se relacionan con la competencia estatal en materia de sanidad ex art. 149.1.16, que es la aquí concernida. La Sentencia solventa la cuestión con la mera cita de los títulos autonómicos de los arts. 116.1 d) y 162.3 b) del Estatuto de Autonomía de Cataluña (EAC) y la afirmación de que “la competencia sobre sanidad animal en el sector ganadero es sustancialmente una competencia sanitaria aunque se proyecte en éste ámbito”, para luego concluir que “las competencias asumidas por la Comunidad Autónoma en el apartado d) del art. 116.1 EAC están limitadas por las citadas competencias estatales, y así lo tuvo en cuenta la STC 6/2014, de 27 de enero,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en su dicción literal el art. 116.1 d) EAC atribuye a la Comunidad Autónoma, en el marco de sus competencias sobre agricultura y ganadería, la competencia exclusiva en materia de “sanidad vegetal y animal cuando no tenga efectos sobre la salud humana y la protección de los animales”. Paralelamente, en el art. 162.3 b) EAC, la competencia compartida se circunscribe a la “sanidad animal con efectos sobre la salud humana”. Interesa advertir que la sanidad animal sin efectos sobre la salud humana no se concibe por el Estatuto de Autonomía de Cataluña como parte integrante de la “sanidad” y la “salud pública”, sino de la “agricultura y ganadería”. Por su parte la sanidad animal con efectos sobre la salud humana se integra en la materia “sanidad”, más específicamente la “salud pública”. Es cierto que la referencia del art. 116 EAC al 149.1.16 CE evidencia que la “sanidad animal que no tenga efectos sobre la salud humana” no queda, como podría parecer en primera instancia, circunscrita, respecto al título de intervención estatal, al mero ámbito de la ordenación de la economía del sector primario sino también vinculada al título constitucional de “sanidad”.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Señalado lo anterior, es claro que, atendiendo al objeto y finalidad de las normas impugnadas, nos hallaríamos en el ámbito del art. 149.1.16 CE en relación con lo dispuesto en el art. 116.1 d) EAC. Así, el adecuado encuadramiento competencial requería interpretar el alcance de las citadas competencias autonómicas cuando no esté comprometida la salud humana, como es el caso. La Sentencia no lleva a cabo esta operación, más que de modo somero y por referencia a jurisprudencia anterior, que no se cita correctamente y que no se ha adentrado en el análisis de los citados títulos competenciales estatutarios, que específicamente acotan un ámbito de competencias a favor de la Comunidad Autónoma lógicamente más intenso cuando no está en juego la salud humana. En cuanto a lo primero estimamos que la correcta lectura de la doctrina de las SSTC 32/1983, de 28 de abril, FJ 3; 192/1990, de 29 de noviembre, FJ 2; y 158/2011, de 19 de octubre, FJ 9, lleva a conclusiones mucho más matizadas respecto al alcance de la competencia estatal, pues aunque, conforme a la doctrina las epizootias que hayan de afectar al ganado se inscriben competencialmente en la materia de sanidad, eso no puede servir para legitimar cualquier tipo de medida estatal. De hecho las examinadas en las Sentencias citadas se referían esencialmente a medidas de naturaleza coordinadora, que presupone la actuación autonómica, o preventivas y, en este caso, es patente que, al menos alguna de las normas impugnadas, exceden, con mucho, dichos ámbitos.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también un segundo problema de principio en la Sentencia, que consiste en su argumentación acerca de la necesaria “densidad normativa” de las bases estatales. En nuestra opinión esta construcción, en la que late la idea de que lo que es obvio ha de ser necesariamente básico, se sitúa a espaldas de la doctrina constitucional sobre la noción de lo básico. Como es conocido esa doctrina ha tenido un desarrollo muy extenso y matizado, que entre otras cosas implica la necesidad de analizar en una perspectiva forzosamente casuística el contenido de cada precepto calificado como básico, en el contexto de las finalidades a las que sirve y de su propio contenido. Es cierto que esa aproximación en la práctica ha dado como resultado una interpretación no precisamente restrictiva del alcance de lo básico en la doble perspectiva material y formal, pero estimamos que el Tribunal debiera evitar utilizar argumentos que, con escaso fundamento en su doctrina, pueda expandirla todavía más, lo que sucedería si se consagra esta idea de la escasa densidad normativa como consustancial a lo básico.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combinación de ambos elementos, produce como resultado un enjuiciamiento más que condescendiente con la regulación estatal que conduce a la desestimación integra del conflicto, cuando una adecuada delimitación competencial y un entendimiento de lo básico ajustado a los parámetros de nuestra doctrina hubiera debido conducir a conclusiones algo diferentes. Ello es particularmente patente en el caso de los arts. 4.5 y 8.2 en su remisión al anexo III.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primero de ellos, relativo a las denominadas “condiciones para garantizar el bienestar animal”, la Sentencia simplemente afirma que “la materia más directamente afectada en este caso es la sanidad animal, en la que debe circunscribirse el bienestar animal por la estrecha relación que guarda con ésta”. A nuestro juicio, la inclusión sin matices de la materia “bienestar animal” en la “sanidad animal” y, con ello, en el ámbito de la legislación básica en materia de sanidad (art. 149.1.16 CE) es un nuevo ejemplo de injustificada expansión de la competencia estatal, en la medida en que la Sentencia no repara solo en que el tratamiento de la “protección de los animales” figura en el Estatuto de Autonomía de Cataluña como competencia exclusiva autonómica, cuanto tampoco en que resulta evidente que, dado el tenor literal del precepto, no se refiere a cuestiones relacionadas con epizootias a las que, según la doctrina que la Sentencia dice aplicar, sería de aplicación el título estatal en materia de sanidad. El bienestar animal, que ha sido objeto de amplia regulación en el Derecho europeo, tiene una regulación cuidadosamente limitada por razones competenciales en la Ley estatal 32/2007, de 7 de noviembre, para el cuidado de los animales, en su explotación, transporte, experimentación y sacrificio. Quiere decirse con ello que no se trata de negar la competencia del Estado para regular determinados aspectos del bienestar animal, pero consideramos a todas luces excesivo reconducir toda la regulación al ámbito de la competencia estatal sobre legislación básica en materia de sanidad, como parece apuntar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razonamiento de la Sentencia acerca del anexo III impugnado es sumamente discutible pues, en esencia, lo que viene a sostenerse es que la detallada regulación del programa de control que contiene sólo afecta a dos enfermedades y que, puesto que el resto de las previstas en la norma quedan sujetas a los programas de vigilancia epizootiológica que las Comunidades Autónomas establezcan, eso hace que no se vulneren sus competencias. Pero eso no es, en realidad, lo que debía resolverse, sino que lo hubiera debido determinarse es la razón por la que era necesaria esa detallada intervención estatal en relación, precisamente, con esas dos enfermedades, para lo que es absolutamente indiferente que, con respecto a las restantes, no se vulnerasen las competencias autonómicas. Antes al contrario, el contraste entre los anexos II y III del Real Decreto hace todavía más necesaria una indagación que la Sentencia renuncia a realizar, consagrando, nuevamente, una interpretación sumamente expansiva de las competencias estatales.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marzo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