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59</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16 de marzo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día 9 de octubre de 2014, el Procurador de los Tribunales don Carlos Navarro Gutiérrez, en nombre y representación de doña María Adelaida Mondoño Molinares y con la asistencia del Abogado don Álvaro Tohel Carballo, interpuso demanda de amparo contra la diligencia de ordenación de fecha 29 de julio de 2014, dictada por la Secretaria del Juzgado de Primera Instancia núm. 4 de Arona, en el procedimiento de ejecución hipotecaría núm. 49-2012, en cuya virtud se acordó devolver el escrito en el que la parte demandante formuló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invoca la vulneración del derecho a la tutela judicial efectiva sin indefensión (art. 24.1 CE), en sus vertientes de acceso al proceso y de interdicción de la arbitrariedad, pues alega que la Secretaria Judicial no le permitió la personación en el proceso ni dio curso a la formalización del incidente de nulidad de actuaciones que intentó entablar, invadiendo funciones de naturaleza jurisdiccional. También denuncia la lesión del derecho a la igualdad ante la ley (art. 14 CE), en tanto que, según afirma, otros órganos judiciales sí han reconocido el derecho a personarse, en el procedimiento de ejecución hipotecaria, a terceros poseedores y a quienes figuren como dueños de los inmuebles hipotecados.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solicita la suspensión del procedimiento de ejecución hipotecaria núm. 49-2012 del Juzgado de Primera Instancia núm. 4 de Arona, suspensión que, dada la excepcional urgencia del presente caso, deberá acordarse con la admisión a trámite de la demanda de amparo. Dicha solicitud de suspensión fue reiterada mediante escrito de fecha 18 de diciembre de 2014, en el que se indicó que el lanzamiento del inmueble sobre el que recae la ejecución estaba previsto para el día 26 de febrero de 2015. Asimismo, se interesó que se acordara la anotación preventiva de la demanda de amparo, dado que ya se había efectuado el cambio de titularidad registral, tras la adjudicación del inmueble a Altamira Santander Real Estate,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18 de febrero de 2015, la Sección Tercera de este Tribunal acordó admitir a trámite el recurso de amparo y dirigir comunicación al órgano judicial interviniente, a fin de que, en plazo que no exceda de diez días, remita certificación o fotocopia adverada de las actuaciones correspondientes al procedimiento de ejecución hipotecaria núm. 49-2012, y proceda a emplazar a quienes hubieran sido parte en el proceso del que trae causa el presente recurso, excepto la parte recurrente en amparo, para que en plazo de diez días puedan comparecer, si lo desean.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ante el riesgo de que la continuación de la ejecución produjera perjuicios de imposible o muy difícil reparación que hicieran perder su finalidad al recurso de amparo y, habida cuenta de la urgencia excepcional a que se refiere el art. 56.3 de la Ley Orgánica del Tribunal Constitucional (LOTC), también se acordó la suspensión cautelar de la ejecución hipotecaria núm. 49-2012.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se acordó la formación de pieza separada para la tramitación del incidente de suspensión y, conforme a lo dispuesto en el art. 56 LOTC, confirió a la demandante y al Ministerio Fiscal un plazo de tres días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fecha 25 de febrero de 2015, la recurrente presentó sus alegaciones. En síntesis, ratifica lo ya manifestado en la demanda de amparo y reitera la necesidad de acceder a la suspensión interesada, así como que se acuerde la anotación preventiva de la demanda de amparo en el Registro de la Propiedad de Adeje.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3 de marzo de 2015, el Ministerio Fiscal presentó su escrito de alegaciones. Tras resumir los aspectos más relevantes del caso, el Fiscal lleva a cabo un detallado análisis de la doctrina constitucional relativa a la suspensión de las resoluciones jurisdiccionales, tras la admisión a trámite del recurso de amparo. Sobre este particular destaca que, aun cuando la suspensión del procedimiento judicial no es regla general derivada de la admisión del recurso de amparo, sin embargo este Tribunal ha establecido una serie de excepciones, entre las que se encuentran aquellos supuestos que conllevan la adjudicación del dominio de inmuebles a un tercero, con la consiguiente consolidación de una posición jurídica inatacable o de muy difícil o costoso restablecimiento (AATC 56/2013, de 25 de febrero, FJ 2; 74/2013, de 8 de abril, FJ 2, y 37/2014, de 10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presente caso, el Fiscal considera que la inicial suspensión del procedimiento de ejecución hipotecaria, acordada con la admisión a trámite del recurso de amparo, estaba plenamente justificada, dada la fecha señalada para el lanzamiento. Por ello, estima procedente acordar de manera definitiva la suspensión, al amparo de lo dispuesto en el art. 56.2 LOTC, pues existe riesgo cierto de que el recurso de amparo pierda su finalidad, si se continúa con la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Fiscal considera procedente que se acuerde la anotación preventiva de la demanda de amparo en el Registro de la Propiedad.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reiterada doctrina de este Tribunal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 En atención a esta previsión legal, el Tribunal ha declarado que cuando el amparo constitucional se solicita respecto de resoluciones judiciales firmes, la suspensión de su ejecución entraña, en sí misma, una perturbación de la función jurisdiccional que comprende la potestad de hacer ejecutar lo juzgado (art. 117.3 CE), por lo que esta medida cautelar resulta pertinente si la ejecución del fallo causa al solicitante de amparo un perjuicio irreparable, debiendo entenderse por tal aquél que provoque que el restablecimiento del recurrente en los derechos fundamentales cuya vulneración denuncia sea tardío e impida definitivamente que la restauración sea efectiva” (por todos, recientemente, ATC 90/2014, de 27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Asimismo, hemos afirmado que “[e]n una consolidada doctrina constitucional, de la que son buena muestra, entre otros muchos, los AATC 220/2008, de 14 de julio, FJ 2; y 64/2009, de 23 de febrero, FJ 2; o los más recientes AATC 56/2013, de 13 de febrero, FJ 2; 74/2013, de 8 de abril, FJ 2; y 152/2013, de 8 de julio; FJ 2; y 37/2014, de 10 de febrero, FJ 2, este Tribunal ha admitido, en efecto,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restablecimiento’…”[ATC 37/2014, de 10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arreglo a esa doctrina constitucional y sin prejuzgar la decisión sobre el fondo del recurso, se estima procedente acordar la suspensión solicitada, puesto que la continuación del procedimiento abocaría a una situación difícilmente reversible, susceptible de hacer perder la finalidad al presente recurso de amparo. Por lo demás, no se advierte en este momento procesal, atendidas las particulares circunstancias del presente caso, que la suspensión de la ejecución pueda entrañar una perturbación grave a un interés constitucionalmente protegido o a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anotación preventiva que solicita el Fiscal y la parte demandante, se estima pertinente la adopción de esa medida. Como sostuvimos en el ATC 282/2014, de 17 de noviembre, FJ 5, “Cuando como en el presente caso se solicita como medida cautelar la anotación preventiva de la demanda de amparo en el Registro de la Propiedad, hemos señalado en ocasiones precedentes que se trata de una medida cautelar que este Tribunal, de conformidad con el art. 56 LOTC, puede adoptar de oficio o a instancia de parte, con fundamento en el art. 42.1 de la Ley hipotecaria (AATC 274/2002, de 18 de diciembre, 257/2003, de 14 de julio, 230/2007, de 7 de mayo, FJ 3; 415/2007, de 5 de noviembre, FJ 4; y 28/2009, de 26 de enero, FJ 2), limitándose nuestra decisión en esta materia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y 415/2007, de 5 de noviembre, FJ 4; y 217/2012, de 26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examinado existe título de adjudicación del inmueble a favor de un tercero, estando pendiente el lanzamiento de la demandante para materializar la entrega o puesta a disposición de la finca a favor del adquirente, según se alega, de manera que la medida instada cumple el fin de garantizar el derecho de la demandante de amparo frente a eventuales actos de disposición, mediante el anuncio registral frente a terceros de la pendencia del proceso constitucional con sus eventuales consecuencias sobre los derechos inscritos.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Acordar la suspensión cautelar de la tramitación del procedimiento de ejecución hipotecaria núm. 49-2012 del Juzgado de Primera Instancia núm. 4 de Arona.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admitida a trámite en el Registro de la Propiedad, a cuyo efecto el Juzgado de Primera Instancia núm. 4 de Arona expedirá el mandamiento oportuno, para que pueda practicarse la misma en relación con el inmueble sobre el que recae el procedimiento indicado.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marzo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