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número 1713-2012, promovido por Banco Santander S.A., representado por el Procurador de los Tribunales don Cesáreo Hidalgo Senén y asistido por el Abogado don Jesús Remón Peñalver, contra el Auto de la Sección Primera de la Sala de lo Contencioso-Administrativo del Tribunal Supremo de 10 de noviembre de 2011, que declaró la inadmisión del recurso de casación núm. 1504-2011, y contra la providencia de 7 de febrero de 2012 que inadmitió a trámite el incidente de nulidad de actuaciones promovido contra aquél. Ha comparecido el Abogado del Estado, en la representación que ostenta, y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marzo de 2012, don Cesáreo Hidalgo Senén, Procurador de los Tribunales, actuando en nombre y representación de Banco Santander, S.A.,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demandante de amparo interpuso recurso contencioso-administrativo contra la resolución del Tribunal Económico-administrativo Central, de 14 de septiembre de 2007, R.G.3806/04-R.S.29/06, relativo a la liquidación girada el 29 de julio de 2004 por la Oficina Nacional de Inspección de la Agencia Estatal de la Administración Tributaria en el impuesto sobre sociedades (régimen de declaración consolidada) del ejercicio 1999 (período: 1 de enero-16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seno del procedimiento ordinario núm. 449-2007, dictó Sentencia de 19 de enero de 2011 la Sección Segunda de la Sala de lo Contencioso-Administrativo de la Audiencia Nacional, confirmatoria de la resolución del Tribunal Económico-Administrativo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7 de marzo de 2011, la representación procesal de Banco Santander, S.A., formalizó escrito de preparación de recurso de casación contra la Sentencia referida, anunciándolo al amparo del motivo d) del art. 88.1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25 de mayo de 2011, la Sala de lo Contencioso-Administrativo del Tribunal Supremo acordó conceder a las partes del recurso de casación núm. 1504-2011 un plazo de diez días para que formularan alegaciones acerca de la posible concurrencia de la siguiente causa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haberse hecho indicación en el escrito de preparación del recurso, de las concretas infracciones normativas o jurisprudenciales que se desarrollarán en el escrito de interposición del recurso de casación (artículos 88.1, 89.1 y 93.2.a. de la LRJCA y Auto de la Sala de 10 de febrero de 2011, dictado en el recurso de casación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presentó alegaciones en dicho trámite mediante escrito de fecha 14 de junio de 2011, en el que solicitaba la admisión del recurso por haber cumplido los requisitos exigidos por la Sala de forma estable y consolidada en los escritos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10 de noviembre de 2011, la Sala Tercera del Tribunal Supremo (Sección Primera) declaró la inadmisión del recurso de casación. La resolución se remite al ATS dictado en el recurso de casación núm. 2927-2010, a la vista de cuya doctrina concluye que, al no contener el escrito de preparación del recurso la cita de las infracciones normativas o jurisprudenciales denunciadas, procedía la inadmisión del mismo por su defectuosa preparación. En la referida resolución se argumenta: (i) que la exigencia de cita de las infracciones normativas o jurisprudenciales que se estiman infringidas responde a una concepción de la fase de preparación como trámite con sustantividad propia —que no constituye un mero formalismo carente de trascendencia y que persigue garantizar que la parte recurrida cuente desde un principio con la información necesaria para adoptar la posición procesal que estime pertinente—; (ii) que el cambio de criterio interpretativo operado por el Auto de 10 de febrero de 2011, dictado en el recurso de casación antes citado, culmina una evolución jurisprudencial dirigida a hacer efectiva esa concepción del trámite de preparación del recurso, lo que es perfectamente compatible con el carácter dinámico y adaptativo de la jurisprudencia, que ha de ajustarse a las nuevas realidades en las que se desenvuelven las relaciones jurídicas, y (iii) que la aplicación del nuevo criterio a todas las situaciones jurídicas pendientes de resolver, con independencia de la fecha de presentación del escrito de preparación, obedece al “mínimo efecto retroactivo” al que se ha referido el Tribunal Constitucional en el examen de los cambios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Auto de inadmisión de 10 de noviembre de 2011 fue promovido incidente de nulidad de actuaciones, invocándose el derecho a la tutela judicial efectiva en su vertiente de acceso a los recursos (art. 24.1 CE), siendo inadmitido dicho remedio procesal por providencia de 7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estima que el Auto de 10 de noviembre de 2011 ha vulnerado su derecho a la tutela judicial efectiva (art. 24.1 CE), en su vertiente de acceso a los recursos. Según afirma, el escrito de preparación del recurso de casación del Banco de Santander, S.A., cumplía con las exigencias de la jurisprudencia consolidada de la Sala Tercera de lo Contencioso-Administrativo del Tribunal Supremo relativa a los escritos de preparación de la interposición de la casación. En consecuencia, la resolución recurrida, con su cambio de criterio, opera con base en una causa de inadmisión no prevista legalmente, que vulnera el contenido esencial del derecho a la tutela judicial efectiva y se aparta, de manera tan sorpresiva como inmotivada, del tenor literal de los preceptos legales que regulan el contenido del escrito de preparación y de la jurisprudencia constante y reiterada sobre el particular. La decisión de inadmisión descansa así en una fundamentación arbitraria e irrazonable que lesiona 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 infracción del principio general que deriva del art. 9.3 CE, el Auto recurrido aplica de forma retroactiva una novedosa doctrina sobre los requisitos formales del escrito de preparación del recurso de casación que, sin estar prevista en la Ley y contrariando la doctrina anterior, impide el acceso al recurso. En concreto, aplica ese cambio de criterio a la impugnación en casación de una sentencia recaída con anterioridad a la fijación de esa nueva posición jurisprudencial, puesto que la Sentencia de la Sala de lo Contencioso-Administrativo de la Audiencia Nacional contra la que se formuló el escrito de preparación de recurso de casación fue dictada el 19 de enero de 2011, mientras que la doctrina invocada por la Sala Tercera de lo Contencioso-Administrativo del Tribunal Supremo, determinante de la inadmisión del recurso de casación preparado, sólo se inició con el posterior Auto de aquella Sala, de 10 de febrero de 2011 (recurso de casación núm.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de inadmisión incurre también en un formalismo enervante del derecho a la tutela judicial efectiva, que olvida el mandato constitucional que impone interpretar la legalidad en el sentido más favorable a la efectividad de los derechos fundamentales, optando en cambio por una solución no favorable al acceso al recurso, contrario a la doctrina jurisprudencial del Tribunal Europeo de Derechos Humanos recaída en torno al art. 6.1 del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Presentada la demanda de amparo, la Sala Segunda de este Tribunal, por Auto de 7 de noviembre de 2013, acordó declarar justificada la abstención para el conocimiento del presente recurso de amparo formulada por el Magistrado don Juan José González Rivas,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noviembre de 2013, la Sala Segunda acordó admitir a trámite la demanda de amparo. Asimismo, en aplicación de lo dispuesto en el art. 51 de la Ley Orgánica del Tribunal Constitucional (LOTC), acordó dirigir atenta comunicación al Tribunal Supremo y a la Audiencia Nacional a fin de que, en el plazo de diez días, remitieran, respectivamente, certificación o fotocopia adverada de las actuaciones correspondientes al recurso de casación núm. 1504-2011 y al procedimiento ordinario núm. 449-2007, debiendo previamente emplazarse para que pudieran comparecer en el recurso de amparo, en el término de diez días, a quienes hubieran sido parte en el procedimiento, excepto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fecha 2 de diciembre de 2013, se tuvieron por recibidos los testimonios de las actuaciones, remitidos por el Tribunal Supremo y por la Audiencia Nacional, así como por personado y parte al Abogado del Estado, en la representación que ostenta, como solicitó éste en escrito registrado el día 21 de noviembre de 2013.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registrado el 18 de diciembre de 2013, en el que interesa que se dicte sentencia estimatoria por vulneración del art. 24.1 CE. Entiende incumplidas “las exigencias mínimas de confianza legítima de los justiciables”. A su juicio, las nuevas máximas jurisprudenciales contenidas en el ATS de 10 de febrero de 2011 se han aplicado en perjuicio del recurrente, que había preparado la casación antes de que se pudiera conocer aquella innovadora resolución, de manera que su recurso de casación fue inadmitido en virtud de nuevas “exigencias” jurisprudenciales que razonablemente no se conocían al tiempo de su preparación. La razonable expectativa o confianza legítima sobre la admisión de un recurso de casación preparado de acuerdo con los requisitos de forma exigidos por la jurisprudencia en el momento de presentar el escrito de preparación, por tanto, se vio sorpresivamente frustrada por la aplicación retrospectiva de las nuevas máximas jurisprudenciales, sin dar oportunidad procesal ninguna de ajustar el escrito ya presentado a las nuevas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27 de diciembre de 2013 se registró en este Tribunal el escrito de alegaciones de la sociedad recurrente de amparo, en el que insiste y desarrolla con nuevas referencias jurisprudenciales las alegaciones ya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mediante escrito registrado el 15 de enero de 2014, interesando la desestimación del recurso. A su parecer, el Auto dictado por la Sección Primera de la Sala de lo Contencioso-Administrativo del Tribunal Supremo constituye una resolución debidamente motivada, que no está incursa ni en error patente, ni en irrazonabilidad, ni en arbitrariedad. Por lo demás, advierte, cuando la parte ahora demandante de amparo formuló su escrito de preparación del recurso de casación —el día 7 de marzo de 2011— ya se hallaba vigente la nueva doctrina jurisprudencial iniciada por el ATS de 10 de febrero de 2011, recaído en el recurso de casación núm. 2927-2010, por lo que nada ha de extrañar que la Sección Primera de la Sala de lo Contencioso-Administrativo del Tribunal Supremo aplicara la nueva doctrina a un recurso de casación preparado en vigencia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Segunda de este Tribunal, por Auto de 6 de noviembre de 2014, acordó declarar justificada la abstención para el conocimiento del presente recurso de amparo formulada por el Magistrado don Ricardo Enríquez Sancho,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Pleno de este Tribunal, mediante providencia de 17 de marzo de 2015, acordó, de conformidad con el art. 10.1 n) LOTC, a propuesta de la Sala Segunda, recabar para sí el conocimiento de este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ha vulnerado el derecho a la tutela judicial efectiva (art. 24.1 CE), desde la perspectiva del derecho de acceso al recurso, la decisión judicial de inadmitir el recurso de casación contencioso-administrativo por no haberse citado en el escrito de preparación los concretos preceptos o la jurisprudencia que se reputan infringidos, y todo ello: (a) por referirse a una causa de inadmisión sin cobertura legal; b) porque la nueva exigencia constituye un requisito que no era conocido ni predecible a tenor de la jurisprudencia aplicable en el momento en que se presentó el escrito de preparación y (c) por incurrir la decisión adoptada en un formalismo enervante, que olvida el mandato constitucional que impone interpretar la legalidad en el sentido más favorable a la efectividad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la jurisprudencia que el recurrente reputa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de noviembre de 2003; e Ipamark c. España,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anteriormente indicada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la excepción que, por disposición legal, establezca el efecto exclusivamente prospectivo de la sentencia, como así se prevé en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Banco de Santander,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y don Juan Antonio Xiol Ríos a la Sentencia dictada en el recurso de amparo avocado núm. 1713-2012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las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