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Santiago Martínez-Vares García, don Juan Antonio Xiol Ríos, don Pedro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3814-2012, promovido por la mercantil Josel, S.L., representada por el Procurador de los Tribunales don Antonio Sorribes Calle y asistida por el Abogado don Miguel Andrés Riera, contra el Auto de la Sección Primera de la Sala de lo Contencioso-Administrativo del Tribunal Supremo, de fecha 12 de enero de 2012, que resolvió la inadmisión del recurso de casación núm. 316-2011, interpuesto por la sociedad demandante de amparo, y contra la providencia de fecha 22 de mayo de 2012, que inadmitió el incidente de nulidad de actuaciones interpuesto contra la resolución precedente. Ha comparecido el Abogado del Estado, en la representación que ostenta, y ha intervenido el Ministerio Fiscal. Ha sido Ponente el Magistrado don Pedro González Trevijano-Sánchez,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junio del 2012 tuvo entrada en el Registro General de este Tribunal el escrito presentado por el Procurador de los Tribunales don Antonio Sorribes Calle, actuando en nombre y representación de la mercantil Josel, S.L., y bajo la dirección letrada del Abogado don Miguel Andrés Riera, mediante el cual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Josel, S.L., entidad que absorbió y sucedió a título universal a Donca, S.A., interpuso recurso contencioso-administrativo contra la resolución del Tribunal Económico-Administrativo Central, de fecha 14 de septiembre de 2007, desestimatoria del recurso de alzada interpuesto contra la resolución del Tribunal Económico-Administrativo Regional de Cataluña, de fecha 6 de octubre de 2005, dictada en la reclamaciones económico-administrativas relativas a las liquidaciones practicadas y sanciones impuestas a Donca, S.A., por los ejercicios 1996 y 1997 del impuesto de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 453-2007, la Sala de lo Contencioso-Administrativo de la Audiencia Nacional (Sección Segunda) dictó, en fecha 16 de diciembre de 2010, Sentencia que estimó parcialmente las pretensiones de la demandante, pues anuló la sanción que le había sido impuesta por ambos ejercicios, pero desestimó las restantes pretensiones ejercitadas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el día 4 de enero de 2011, el Abogado del Estado formuló escrito de preparación del recurso de casación contra la Sentencia recaída en la instancia. No obstante, por escrito de fecha 28 de febrero, que fue presentado ante la Sala Tercera del Tribunal Supremo (Sección Primera), la Abogacía del Estado manifestó que no sostenía el recurso de casación. Por Decreto de la Secretaría del referido órgano, de fecha 23 de marzo de 2011, se declaró desierto el recurso de casación a que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presentado, en fecha 10 de enero de 2011, la sociedad demandante de amparo interesó que se tuviera por preparado recurso de casación contra la Sentencia antes indicada. En dicho escrito puso de manifiesto la intención de interponer recurso de casación y, a su vez, indicó que el recurso iba a fundarse en los motivos previstos en los arts. 88.1 c) y 88.1 d)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fecha 12 de enero de 2011, la Sala de lo Contencioso-Administrativo de la Audiencia Nacional tuvo por preparado los recursos de casación. Asimismo, dicho órgano acordó emplazar a los recurrentes para que comparecieran ante la Sala Tercera del Tribunal Supremo. Una vez recibidas las actuaciones por el órgano ad quem, el día 16 de febrero del 2011 la actora interpuso el recurso de casación ante la Sala Tercera del Tribunal Supremo. El recurso de casación fue registrado con el número 316-2011.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providencia de 25 de abril de 2011, la Sala Tercera del Tribunal Supremo confirió traslado a las partes, a fin que formularan alegaciones sobre la posible concurrencia de la causa de inadmisión, consistente en no haber citado en el escrito de preparación las infracciones normativas o jurisprudenciales que iban a desarrollarse en el escrito de interposición [arts. 88.1, 89.1 y 93.2 a) LJCA], conforme a lo establecido en el ATS de 10 de febrero de 2011, dictado en el recurso de casación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16 de mayo de 2011 la sociedad demandante evacuó el traslado conferido. En síntesis, la referida entidad manifestó haber preparado el recurso de casación conforme al criterio jurisprudencial establecido con anterioridad al ATS de 10 de febrero de 2011; que no cabe aplicar retroactivamente y de manera sorpresiva el cambio de criterio jurisprudencial relativo a los requisitos del recurso de preparación del recurso de casación, principalmente porque en el momento de la preparación del recurso la recurrente no pudo tener conocimiento de la referida modificación de criterio; que la aplicación retroactiva de las nuevas pautas jurisprudenciales, que no están previstas legalmente, vulneran el principio de seguridad jurídica; y que es manifiestamente desproporcionado exigir el cumplimiento de un requisito formal, en el escrito de preparación del recurso de casación, cuando dicho recurso ya se ha formalizado.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12 de enero de 2012, la Sala Tercera del Tribunal Supremo (Sección Primera) acordó la inadmisión del recurso de casación. La Sala se remitió a la doctrina establecida en ATS de 10 de febrero de 2011, del que transcribió varios de sus fundamentos, y concluyó que no habiéndose citado, en el escrito de preparación del recurso formalizado por la sociedad recurrente, las infracciones normativas o jurisprudenciales que iban a desarrollarse en el escrito de interposición, procedía la inadmisión del recurso de casación. Por otro lado, la Sala consideró de aplicación lo que la doctrina constitucional ha calificado como “mínimo efecto retroactivo”, de manera que el nuevo criterio jurisprudencial resulta extensible a todo supuesto o situación jurídica que tenga ante sí para resolver, con independencia del momento temporal en que se interpuso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fecha 21 de febrero de 2012, la sociedad demandante de amparo promovió incidente de nulidad de actuaciones en el que, con una extensa argumentación, alegó la vulneración del derecho a la igualdad en la aplicación judicial de la ley (art. 14 CE) y del derecho a la tutela judicial efectiva en su vertiente de acceso a los recursos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providencia de 22 de mayo de 2012 fue inadmitido el incidente de nulidad de actuaciones promovido contra el Auto de inadmisión del recurso de casación. En esencia, el órgano judicial considera que la demandante se limita a discrepar de las razones tenidas en consideración para inadmitir el recurso de casación, asimilando el incidente de nulidad a un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 vulneración del derecho a la igualdad en la aplicación judicial de la ley (art 14 CE) y del derecho a la tutela judicial efectiva sin indefensión, en su vertiente del acceso a los recursos (art. 24.1 CE). En síntesis, tales vulneraciones se asientan en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Resulta arbitrario e irracional aplicar retroactivamente un cambio de criterio jurisprudencial, en relación con los requisitos formales para la admisibilidad del recurso de casación, sobre todo cuando se exige la observancia de las nuevas pautas jurisprudenciales una vez formalizado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aplicación retroactiva de un nuevo requisito de forma, no previsto legalmente e introducido ex novo en virtud de un cambo jurisprudencial, es irracional por vulnerar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nuevo criterio jurisprudencial violenta el tenor de la norma legal, pues exige cumplimentar, en el escrito de preparación del recurso de casación, un requisito que solamente tiene sentido cuando se recurren en casación sentencias dictadas por los Tribunales Superiores de Justicia, con fundamento en la infracción de una norma estatal o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presente caso ha tenido lugar una modificación irreflexiva y arbitraria de un criterio jurisprudencial consolidado, que es contraria al principio de igualdad (art. 14 CE), máxime porque no ha existido modificación de la normativa que justifique tal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18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inadmisión de 12 de enero del 2012,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316-2011 y al recurso núm. 453-2007,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28 de octubre de 2013, el Abogado del Estado, en la representación que le es propia, solicitó que se le tuviera por personado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fecha 15 de noviembre de 2013, se tuvo por personado y parte al Abogado del Estado, en representación de la Administración del Estado. A tenor de lo dispuesto en el art. 52.1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9 de diciembre del 2013, la sociedad demandante formuló sus alegaciones. En esencia, dicha entidad se remite a lo ya manifestado en el escrito de demanda, reiterando las pretensiones interesadas en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 El Abogado del Estado presentó sus alegaciones mediante escrito registrado el día 18 de diciembre de 2013. En síntesis, considera que, a la luz de la doctrina constitucional, el Auto de inadmisión combatido en amparo vulnera el derecho al acceso a los recursos que garantiza el art. 24.1 CE. Para el Abogado del Estado el auténtico problema constitucional que la demanda suscita radica en la aplicación retrospectiva de las nuevas máximas jurisprudenciales plasmadas en el ATS de 10 de febrero de 2011, que la demandante no podía conocer cuando preparó el recurso de casación. En el presente caso, la inadmisión del recurso de casación se sustenta, precisamente, en que no se preparó conforme a las referidas máximas, lo que comporta imponer retroactivamente un novedoso régimen procesal desfavorable a la realización de un acto procesal totalmente concluido. Por tanto, la cuestión principal radica en la irrazonabilidad de una decisión que impone unos requisitos de forma que la parte no tenía posibilidad de conocer ni, por tanto, de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el 13 de enero de 2014. Descarta la vulneración del art. 14 CE, dado que la sociedad demandante no ha ofrecido un desarrollo argumental adecuado para justificar la vulneración de la igualdad en la aplicación de la ley. Tal deficiencia aboca al fracaso del motivo, toda vez que no le corresponde al Tribunal Constitucional reconstruir las demandas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 la pretendida vulneración del art. 24.1 CE, pues entiende que la argumentación ofrecida para inadmitir el recurso de casación no incurre en arbitrariedad, falta de razonabilidad o error patente. A mayor abundamiento, añade que el criterio mantenido por el órgano judicial en relación con los requisitos del escrito de preparación del recurso de casación, esto es, la obligación de indicar las concretas infracciones normativas o jurisprudenciales, se desprende del propio tenor de los apartados c) y d) del art. 88 LJCA. Por ello, concluye que el requisito cuyo incumplimiento ha determinado la inadmisión del referido recurso no viene impuesto por la jurisprudencia, sino por la propia normativa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12 de enero de 2012, del que trae causa el presente recurso de amparo. Por Auto de fecha 6 de noviembre de 2014, la Sala Segunda de este Tribunal resolvió estimar justificada la causa de abstención invocada, apartando definitivamente del conocimiento del presente recurso y de todas sus incidencias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fecha 17 de marzo de 2015, el Pleno, en su reunión de esa fecha y conforme establece el artículo 10.1 n) de la Ley Orgánica del Tribunal, a propuesta de la Sala Segunda, acuerda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28 de abril de 2015 se señaló para deliberación y fallo de la Sentencia el día 30 del citado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demandante de amparo impugna el Auto de la Sección Primera de la Sala de lo Contencioso-Administrativo del Tribunal Supremo de 12 de enero de 2012, que acordó no admitir a trámite el recurso de casación interpuesto contra la Sentencia de la Sala de lo Contencioso-Administrativo de la Audiencia Nacional (Sección Segunda) de 16 de diciembre de 2010, recaída en el procedimiento ordinario núm. 453-2007. También impugna la providencia mediante la que se inadmitió a trámite el incidente de nulidad de actuaciones, de fecha 22 de mayo de 2012, promovido contra el Auto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recurridas: (i) la vulneración de su derecho a la tutela judicial efectiva (art. 24.1 CE), en su vertiente de acceso a los recursos, porque el Auto impugnado se funda en un requisito de admisibilidad no exigido por la ley; (ii) la vulneración de su derecho a la tutela judicial efectiva (art. 24.1 CE), en su vertiente de acceso a los recursos, porque la exigencia de anticipar, en el escrito de preparación del recurso de casación, los concretos preceptos o la jurisprudencia que se reputan infringidos se ha aplicado a un supuesto en el que aquella exigencia no era conocida ni predecible a tenor de la jurisprudencia precedente; (iii) la vulneración de su derecho a la igualdad en la aplicación judicial de la ley (art.14 CE), pues entiende que se ha producido una modificación irreflexiva y arbitraria de un criterio jurisprudencial consolidado, sin que se haya producido un cambio de las norma que regula la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la que hemos tenido la oportunidad de examinar otro supuesto de inadmisión de un recurso de casación, por omitirse en el escrito de preparación la cita de las normas y jurisprudencia que el recurrente reputase infringidas.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Sentencia,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por lo que el control constitucional que este Tribunal debe realizar de las resoluciones judiciales dictadas sobre los presupuestos o requisitos de admisión de los recursos tiene carácter externo, siendo, si cabe, más limitado en lo referido al recurso de casación, pues (i) el Tribunal Supremo tiene encomendada la función de interpretar la ley con el valor complementario que atribuye a su jurisprudencia el Código civil y (ii) el recurso de casación tiene, a su vez, naturaleza extraordinaria, de donde se sigue que su régimen procesal es más estricto (SSTC 37/1995,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pudiendo las condiciones de admisión de un recurso de casación ser más rigurosas que las propias de un recurso que haya de resolverse en grado de apelación (SSTEDH de 19 de diciembre de 1997, caso Brualla Gómez de la Torre c. España, y de 25 de enero de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Sentencias del Tribunal de Estrasburgo recaídas en los casos Sociedad General de Aguas de Barcelona c. España, de 25 de mayo de 2000; Llopis Ruiz c. España, de 7 noviembre 2003, e Ipamark c. España, de 17 de febrero de 2004, que presentan en común juzgar resoluciones en las que nuestro Tribunal Supremo inadmitió recursos de casación por considerar que los recurrentes no habían justificado en sus respectivos escritos procesales que la infracción de normas estatales o comunitarias había sido relevante y determinante del fallo de la Sentencia recurrida. El Tribunal Europeo concluyó con la desestimación de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siquiera sucinta,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que es objeto de impugnación en el presente recurso, ha afrontado la interpretación del art. 89.1 LJCA (precepto que exige que en el escrito de preparación del recurso de casación se exprese “la intención de interponer el recurso, con sucinta exposición de la concurrencia de los requisitos de forma exigidos”), alcanzando la conclusión de que uno de esos requisitos ha de ser la cita, siquiera sucinta, de las normas y la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Supremo ha tenido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asimismo,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exigencia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repetidamente, este Tribunal ha declarado que la selección de normas aplicables y su interpretación corresponde, en principio, a los Jueces y Tribunales ordinarios en el ejercicio de la función jurisdiccional que con carácter exclusivo les atribuye el art. 117.3 CE. El control de este Tribunal sólo abarcará el examen de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pues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debemos añadir que en el sistema de civil law en que se desenvuelve la labor jurisprudencial encomendada al Tribunal Supremo español, la jurisprudencia no es, propiamente, fuente del Derecho —las sentencias no crean la norma— por lo que no son miméticamente trasladables las reglas que se proyectan sobre el régimen de aplicación de las leyes. A diferencia del sistema del common law, en el que el precedente actúa como una norma y el overruling, o cambio de precedente, innova el ordenamiento jurídico, con lo que es posible limitar la retroactividad de la decisión judicial, en el Derecho continental los tribunales no están vinculados por la regla del prospective overruling, rigiendo, por el contrario, el retrospective overruling (sin perjuicio de la excepción que, por disposición legal, establezca el efecto exclusivamente prospectivo de la sentencia, como así se prevé en el art. 100.7 LJCA en el recurso de casación en interés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tuvimos ocasión de señalarlo ya en nuestra STC 95/1993, de 22 de marzo, en la que subrayamos que la Sentencia que introduce un cambio jurisprudencia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el que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por lo que se refiere al derecho a la igualdad en la aplicación de la ley (art. 14 CE) y en lo que al presente caso importa, este Tribunal ha reiterado que está vedado a los órganos judiciales el cambio irreflexivo o arbitrario en la aplicación de una norma, lo cual equivale a mantener que, por el contrario, el cambio resulta legítimo cuando es razonado, razonable y con vocación de futuro, esto es, destinado a ser mantenido con cierta continuidad, con fundamento en razones jurídicas objetivas que excluyan todo significado de resolución ad personam o de ruptura ocasional en una línea que se venga manteniendo con normal uniformidad antes de la decisión divergente o se continúe con posterioridad (por todas, SSTC 105/2009, de 4 de mayo, FJ 4, y 178/2014, de 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Auto del Tribunal Supremo impugnado —lejos de ser una decisión particularizada y adoptada ad hoc por el órgano judicial para resolver ese solo caso o para aplicarlo exclusivamente a la persona del recurrente— constituye la plasmación de un criterio jurisprudencial previamente adoptado con carácter general y con vocación de permanencia para resolver todos los supuestos de las mismas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lo argumentado en los anteriores fundamentos jurídicos, procede la desestimación del recurso de amparo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mercantil Josel,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Fernando Valdés Dal-Ré y don Juan Antonio Xiol Ríos a la Sentencia dictada en el recurso de amparo avocado núm. 3814-2012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Pleno en la que se sustenta la Sentencia, manifestamos nuestra discrepancia con la fundamentación jurídica y el fallo de esta. Consideramos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las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