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Santiago Martínez-Vares García,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número 5157-2012, promovido por doña María de los Ángeles Jordá Escola, representada por el Procurador de los Tribunales don Jorge Deleito García y asistida por la Abogada doña Laura Bujons Sampere, contra el Auto de la Sección Primera de la Sala de lo Contencioso-Administrativo del Tribunal Supremo de 10 de noviembre de 2011, que declaró la inadmisión del recurso de casación núm. 2933-2010. Ha comparecido el Abogado del Estado, en la representación que ostenta, y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septiembre de 2012, don Jorge Deleito García, Procurador de los Tribunales, actuando en nombre y representación de doña María de los Ángeles Jordá Escola, interpuso recurso de amparo contra la resolución judicial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interpuso recurso contencioso-administrativo contra la resolución del Tribunal Económico-Administrativo Central de 21 de diciembre de 2006, por la que se desestima la reclamación económico-administrativa formulada frente a la resolución del Tribunal Económico-Administrativo Regional de Cataluña de fecha 9 de octubre de 2003, recaída en el expediente núm. 08-10593-2000, 10594-2000 y 10595-2000 (acumulados), relativa al impuesto sobre la renta de las personas físicas correspondiente al ejercicio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seno del procedimiento ordinario núm. 439-2007, dictó Sentencia de 15 de abril de 2010 la Sección Segunda de la Sala de lo Contencioso-Administrativo de la Audiencia Nacional, confirmatoria de la resolución del Tribunal Económico-Administrativo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30 de abril de 2010, la representación procesal de la demandante de amparo registró escrito de preparación de recurso de casación contra la Sentencia referida, anunciándolo al amparo del art. 88.1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3 de mayo de 2011, la Sala de lo Contencioso-Administrativo del Tribunal Supremo acordó conceder a las partes del recurso de casación núm. 2933-2010 un plazo de diez días para que formularan alegaciones acerca de la posible concurrencia de la siguiente causa de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haber citado en el escrito de preparación del recurso de casación las infracciones normativas o jurisprudenciales que la recurrente desarrollará en el escrito de interposición [artículos 88.1; 89.1 y 93.2 a) LRJCA y auto de la Sala de 10 de febrero de 2011, recurso de casación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presentó alegaciones en dicho trámite mediante escrito de fecha 31 de mayo de 2011, en el que solicitaba la admisión del recurso por haber cumplido los requisitos exigidos por la Sala de forma estable y consolidada para los escritos de preparación de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10 de noviembre de 2011, la Sala Tercera del Tribunal Supremo (Sección Primera) declaró la inadmisión del recurso de casación. La resolución se remite al ATS de 10 de febrero de 2011, dictado en el recurso de casación núm. 2927-2010, a la vista de cuya doctrina concluye que, al no contener el escrito de preparación del recurso la cita de las infracciones normativas o jurisprudenciales denunciadas, procedía la inadmisión del mismo por su defectuosa preparación. En la referida resolución se argumenta que: (i) la exigencia de cita de las infracciones normativas o jurisprudenciales que se estiman infringidas responde a una concepción de la fase de preparación como trámite con sustantividad propia, que no constituye un mero formalismo carente de trascendencia y que persigue garantizar que la parte recurrida cuente desde un principio con la información necesaria para adoptar la posición procesal que estime pertinente; (ii) el cambio de criterio interpretativo operado por el Auto de 10 de febrero de 2011, dictado en el recurso de casación antes citado, culmina una evolución jurisprudencial dirigida a hacer efectiva esa concepción del trámite de preparación del recurso, lo que es perfectamente compatible con el carácter dinámico y adaptativo de la jurisprudencia, que ha de ajustarse a las nuevas realidades en las que se desenvuelven las relaciones jurídicas; iii) lo que prohíbe el principio de igualdad en la aplicación de la Ley es el cambio irreflexivo o arbitrario, no así el cambio razonado, razonable y con vocación de futuro, esto es, destinado a ser mantenido con cierta continuidad con fundamento en razones jurídicas objetivas que excluyan todo significado de resolución ad personam; (iv) la aplicación del nuevo criterio a todas las situaciones jurídicas pendientes de resolver, con independencia de la fecha de presentación del escrito de preparación, obedece al “mínimo efecto retroactivo” al que se ha referido el Tribunal Constitucional en el examen de los cambios jurisprudenciales; v) las posibles restricciones a la recurribilidad de determinadas resoluciones no son incompatibles con el derecho a la tutela judicial efectiva del art. 24.1 CE, ni con el principio de seguridad jurídica, siempre que se articulen por ley, siendo doctrina reiterada de la Sala Tercera que no se quebranta dicho derecho porque un proceso contencioso-administrativo quede resuelto en única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el Auto de inadmisión de 10 de noviembre de 2011 fue promovido incidente de nulidad de actuaciones, invocándose el derecho a la tutela judicial efectiva en su vertiente de acceso a los recursos (art. 24.1 CE) y el principio de igualdad ante la ley (art. 14 CE), siendo inadmitido dicho remedio procesal por providencia de 25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 vulneración del derecho a la igualdad en la aplicación judicial de la ley (art 14 CE) y del derecho a la tutela judicial efectiva sin indefensión, en su vertiente del acceso a los recursos (art. 24.1 CE). En síntesis, tales vulneraciones se asientan en los siguientes argumentos que: i) del examen comparativo del escrito de preparación y el de formalización del recurso podía concluirse el cumplimiento de las exigencias impuestas tanto por la Ley jurisdiccional y por la jurisprudencia entonces existente; ii) se proporcionaba a la parte recurrida información acerca de los motivos en que se fundamentaría el recurso de casación, puesto que se hizo una referencia sucinta a los mismos, como venía entonces exigiéndose; iii) con anterioridad a la primera fecha de publicación de la nueva doctrina del Tribunal Supremo ya había sido preparado y formalizado el recurso de casación en este caso; iv) en el momento de preparar e interponer el recurso de casación la jurisprudencia sobre la cuestión analizada no era unánime ni clara, por lo que la inadmisión repercutía en la seguridad jurídica y en la tutela judicial efectiva de quien obraba con la certeza de que sus actuaciones cumplían con la legislación y doctrina jurisprudencial vigentes; v) la aplicación de la doctrina emanada del ATS de 10 de febrero de 2011 requería algún tipo de periodo transitorio, pues lo contrario implicaba la exigencia de requisitos sobrevenidos e inesperados, con centenares de inadmisiones como la que se impugna, contraviniéndose la exigencia de que los cambios jurisprudenciales tengan vocación de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desde la perspectiva del art. 14 CE se alega que: i) la aplicación lógica del nuevo criterio establecido por el Tribunal Supremo debería limitarse a los recursos de casación preparados con posterioridad al mismo o, como mínimo, a los interpuestos con posterioridad a esa fecha, y no, como ocurre en el presente caso, a los que tanto en la preparación como en la interposición se produjeron con anterioridad; ii) de otro modo, se da una situación menos favorable en aplicación de una misma norma ante supuestos idénticos, como serían los casos anteriores a la existencia de aquella nueva doctrina en los que se admitieron los escritos de preparación que contenían sucintas referencias a los motivos que iban a desarrollarse en 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Presentada la demanda de amparo, la Sala Segunda de este Tribunal, por Auto de 7 de noviembre de 2013, acordó declarar justificada la abstención para el conocimiento del presente recurso de amparo formulada por el Magistrado don Juan José González Rivas,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noviembre de 2013, la Sala Segunda acordó admitir a trámite la demanda de amparo. Asimismo, en aplicación de lo dispuesto en el art. 51 de la Ley Orgánica del Tribunal Constitucional (LOTC), acordó dirigir atenta comunicación al Tribunal Supremo y a la Audiencia Nacional a fin de que, en el plazo de diez días, remitieran, respectivamente, certificación o fotocopia adverada de las actuaciones correspondientes al recurso de casación núm. 2933-2010 y al procedimiento ordinario núm. 439-2007, debiendo previamente emplazarse para que pudieran comparecer en el recurso de amparo, en el término de diez días, a quienes hubieran sido parte en el procedimiento, excepto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fecha 16 de diciembre de 2013, se tuvieron por recibidos los testimonios de las actuaciones, remitidos por el Tribunal Supremo y por la Audiencia Nacional, así como por personado y parte al Abogado del Estado, en la representación que ostenta, como solicitó éste en escrito registrado el día 21 de noviembre de 2013.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registrado el 20 de enero de 2014, en el que interesa que se dicte sentencia estimatoria por vulneración del art. 24.1 CE. Entiende incumplidas “las exigencias mínimas de confianza legítima de los justiciables”. A su juicio, las nuevas máximas jurisprudenciales contenidas en el ATS de 10 de febrero de 2011 se han aplicado en perjuicio de la recurrente, que había preparado la casación antes de que se pudiera conocer aquella innovadora resolución, de manera que su recurso de casación fue inadmitido en virtud de nuevas “exigencias” jurisprudenciales que razonablemente no se conocían al tiempo de su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22 de enero de 2014 se registró en este Tribunal el escrito de alegaciones de la recurrente de amparo, en el que reitera las alegaciones ya contenidas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el 6 de febrero de 2014, interesando la desestimación del recurso. A su parecer, el Auto dictado por la Sección Primera de la Sala de lo Contencioso-Administrativo del Tribunal Supremo constituye una resolución debidamente motivada, que no está incursa ni en error patente, ni en irrazonabilidad, ni en arbitrariedad. En cuanto al art. 14 CE, razona que la parte recurrente no ha aportado un válido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Segunda de este Tribunal, por Auto de 6 de noviembre de 2014, acordó declarar justificada la abstención para el conocimiento del presente recurso de amparo formulada por el Magistrado don Ricardo Enríquez Sancho,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 El Pleno de este Tribunal, mediante providencia de 15 de abril de 2015, acordó, de conformidad con el art. 10.1 n) LOTC, a propuesta de la Sala Segunda,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28 de abril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porque se cumplían los requisitos y las exigencias impuestas en aquel momento por la ley y la jurisprudencia, y b) porque la aplicación de la doctrina emanada del ATS de 10 de febrero de 2011 requería algún tipo de periodo transitorio, pues lo contrario implicaba la exigencia de requisitos sobrevenidos e inesperados, y (ii) el derecho a la igualdad en la aplicación de la ley (art. 14 CE), porque la aplicación lógica del nuevo criterio establecido por el Tribunal Supremo debería limitarse a los recursos de casación preparados con posterioridad al mismo o, como mínimo, a los interpuestos con posterioridad a esa fecha, y no, como ocurre en el presente caso, a los anteriores, ya que de otro modo se da una situación menos favorable en aplicación de una misma norma ante supuestos idénticos —como serían los casos anteriores a la existencia de aquella nueva doctrina en los que se admitieron los escritos de preparación que contenían sucintas referencias a los motivos que iban a desarrollarse en 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la jurisprudencia que el recurrente reputa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Brualla Gómez de la Torre c. España, y de 25 de enero de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de mayo de 2000; Llopis Ruiz c. España, de 7 noviembre 2003, e Ipamark c. España, de 17 de febrero de 2004, que presentan en común el haber enjuiciado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anteriormente indicada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la excepción que, por disposición legal, establezca el efecto exclusivamente prospectivo de la sentencia, como así se prevé en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y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ad personam o de ruptura ocasional en una línea que se venga manteniendo con normal uniformidad antes de la decisión divergente o se continúe con posterioridad (por todas, SSTC 105/2009, de 4 de mayo, FJ 4, y 178/2014, de 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Auto del Tribunal Supremo impugnado, lejos de ser una decisión particularizada y adoptada ad hoc por el órgano judicial para resolver ese solo caso o para aplicarlo exclusivamente a la persona del recurrente, constituye la plasmación de un criterio jurisprudencial previamente adoptado con carácter general y con vocación de permanencia para resolver todos los supuestos de las mismas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María de los Ángeles Jordá Escola.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