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Santiago Martínez-Vares García, don Juan Antonio Xiol Ríos, don Pedro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5985-2012, promovido por el Ayuntamiento de Málaga, representada por el Procurador de los Tribunales don Vicente Ruigómez Muriedas y asistida por el Abogado don Sergio Verdier Hernández, contra el Auto de la Sección Primera de la Sala de lo Contencioso-Administrativo del Tribunal Supremo, de fecha 10 de mayo de 2012, que resolvió la inadmisión del recurso de casación núm. 6176-2011, interpuesto por la entidad demandante, y contra la providencia, de fecha 10 de septiembre del 2012, que inadmitió el incidente de nulidad de actuaciones interpuesto contra la resolución precedente. Ha comparecido el Abogado del Estado, en la representación que ostenta, y ha intervenido el Ministerio Fiscal. Ha sido Ponente el Magistrado don Pedro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octubre del 2012 tuvo entrada en el Registro General de este Tribunal el escrito presentado por el Procurador de los Tribunales don Vicente Ruigómez Muriedas, actuando en nombre y representación del Ayuntamiento de Málaga y bajo la dirección letrada del Abogado don Sergio Verdier Hernández, mediante el cual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Ayuntamiento de Málaga interpuso recurso contencioso-administrativo contra el acuerdo del Consejo de la Comisión del Mercado de las Telecomunicaciones, de fecha 18 de febrero de 2010, en cuya virtud le fue impuesta una sanción de 300.000 €, se le intimó a realizar la notificación fehaciente prevista en el art. 6.2 de la Ley general de telecomunicaciones, y a que abonase el importe de la tasa general de operadores prevista en el art. 56.2 de la referida Ley, y contra el acuerdo del indicado Consejo, de fecha 13 de mayo de 2011, que resolvió la inscribir de oficio al mencionado Ayuntamiento en el registro de operadores de redes y servicios de comunicaciones electrónicas.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 180-2010, la Sala de lo Contencioso-Administrativo de la Audiencia Nacional (Sección Octava) dictó, en fecha 1 de septiembre de 2011, Sentencia desestimatoria de las pretensiones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día 23 de septiembre de 2011, el Ayuntamiento de Málaga formuló escrito de preparación del recurso de casación contra la Sentencia recaída en la instancia. En dicho escrito puso de manifiesto la intención de interponer recurso de casación y, a su vez, indicó que el recurso iba a fundarse en los motivos previstos en los arts. 88.1 c) y 88.1 d)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fecha 29 de noviembre de 2011, la Sala de lo Contencioso-Administrativo de la Audiencia Nacional tuvo por preparado el recurso de casación. Asimismo, dicho órgano acordó emplazar al recurrente para que compareciera ante la Sala Tercera del Tribunal Supremo. Una vez recibidas las actuaciones por el órgano ad quem, el día 16 de enero del 2012 la actora interpuso el recurso de casación ante la Sala Tercera del Tribunal Supremo. El recurso de casación fue registrado con el núm. 6176-2011.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23 de febrero de 2012, la Sala Tercera del Tribunal Supremo confirió traslado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y 89.1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14 de marzo de 2012 la entidad demandante evacuó el traslado conferido, interesando la admisión a trámite del recurso de casación. En síntesis, consideró que el Tribunal Supremo no había resuelto definitivamente sobre sí es preceptivo indicar, en el escrito de preparación del recurso de casación, las concretas infracciones normativas o jurisprudenciales en que se pretenda sustentar el recurso; que, en cualquier caso, el Tribunal a quo ha sanado esa eventual deficiencia, al considerar debidamente preparado el recurso; que el recurso de casación se interpuso con anterioridad a que el Tribunal Supremo advirtiera el posible defecto habido en el escrito de preparación, de manera que igualmente habría quedado subsanada la omisión inicial; y, por último, que en la fecha en que se preparó el recurso de casación aún no se habían publicado, en las bases de datos de uso habitual, aquellas resoluciones que recogían el cambio de criterio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10 de mayo de 2012, la Sala Tercera del Tribunal Supremo (Sección Primera) acordó la inadmisión del recurso de casación. La Sala se remitió a la doctrina establecida en ATS de 10 de febrero de 2011 y concluyó que no habiéndose citado, en el escrito de preparación del recurso formalizado por la sociedad recurrente, las infracciones normativas o jurisprudenciales que iban a desarrollarse en el escrito de interposición, procedía la inadmisión del recurso de casación. Por otro lado, la Sala consideró de aplicación lo que la doctrina constitucional ha calificado como “mínimo efecto retroactivo”, de manera que el nuevo criterio jurisprudencial resulta extensible a todo supuesto o situación jurídica que tenga ante sí para resolver, con independencia del momento temporal en que se interpuso el recurso. Finalmente, el órgano judicial citado entendió que el defecto advertido en el escrito de preparación no puede ser sanado por actuaciones procesales posteriores, habida cuenta de que, conforme establece el art. 93. 2 a) LJCA, la inadmisión del recurso deviene imperativa cuando no se han cumplimentado los requisitos del escrito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19 de junio de 2012, el Ayuntamiento de Málaga promovió incidente de nulidad de actuaciones en el que, con una extensa argumentación, alegó la vulneración del derecho a la igualdad en la aplicación judicial de la ley (art. 14 CE) y del derecho a la tutela judicial efectiva en su vertiente de acceso a los recursos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10 de septiembre de 2012 fue inadmitido el incidente de nulidad de actuaciones promovido contra el Auto de inadmisión del recurso de casación. En esencia, el órgano judicial considera que la demandante se limita a discrepar de las razones tenidas en consideración para inadmitir el recurso de casación, asimilando el incidente de nulidad a un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del derecho a la igualdad en la aplicación judicial de la ley (art 14 CE) y del derecho a la tutela judicial efectiva sin indefensión, en su vertiente del acceso a los recursos (art. 24.1 CE). En síntesis, tales vulneraciones tienen el siguiente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nuevo criterio jurisprudencial violenta el tenor de la norma legal, concretamente el art. 89.1 LJCA, pues exige cumplimentar, en el escrito de preparación del recurso de casación, un requisito que solamente está previsto para la interposición del recurso citado. Por tanto, la interpretación efectuada por el Tribunal Supremo, acerca de los requisitos de forma que deben cumplimentarse en el escrito de preparación, es irrazonable y atenta contra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cambio de criterio jurisprudencial no está debidamente motivado, pues en las resoluciones combatidas no se explican las razones que han llevado al Tribunal Supremo a cambiar su doctrina. Además, dicho órgano no ha reflejado el cambio de criterio a través de un acuerdo no jurisdiccional, figura regulada en el art. 246 de la Ley Orgánica del Poder Judicial (LOPJ), lo cual ha dificultado seriamente las posibilidades de conocer las nuevas pautas jurisprudenciales, en el momento de preparar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Supremo no ha tenido en cuenta que, tanto la admisión del escrito de preparación por la Sala de lo Contencioso-Administrativo de la Audiencia Nacional, como la subsiguiente interposición del recurso de casación, han sanado las eventuales deficiencias del referido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presente caso se ha producido una modificación irreflexiva y arbitraria de un criterio jurisprudencial consolidado, que es contraria al principio de igualdad (art. 14 CE). Además, el criterio asentado por el ATS de 10 de febrero de 2011 no ha sido aplicado de manera unánime por el Tribunal Supremo; y así en el AATS de 10 de febrero de 2011 (recurso 2706-2010) y 17 de marzo de 2011 (recurso 3163-2010) y en las SSTS de 7 de julio de 2011 (recurso 6230-2006) y 27 de septiembre de 2011(recurso 6059-2009) se continuó aplicando la doctrina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18 de septiembre de 2013, el Magistrado de este Tribunal don Juan José González Rivas solicitó se le tuviera por abstenido en el presente recurso, dada la concurrencia de la causa de abstención prevista en el art. 219.11 LOPJ, de aplicación supletoria conforme a lo establecido en el art. 80 de la Ley Orgánica del Tribunal Constitucional (LOTC), habida cuenta de que formó parte de la Sección Primera de la Sala Tercera del Tribunal Supremo, órgano este que dictó el Auto de inadmisión de 10 de mayo de 2012,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6176-2011 y al recurso núm. 180-2010,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28 de octubre de 2013, el Abogado del Estado, en la representación que le es propia, solicitó que se le tuviera por personado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21 de noviembre de 2013, se tuvo por personado y parte al Abogado del Estado, en representación de la Administración del Estado. A tenor de lo dispuesto en el art. 52.1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mediante escrito registrado el día 18 de diciembre de 2013. En síntesis, considera que, a la luz de la doctrina constitucional, el Auto de inadmisión combatido en amparo vulnera el derecho al acceso a los recursos que garantiza el art. 24.1 CE. Para el Abogado del Estado el auténtico problema constitucional que la demanda suscita radica en la aplicación retrospectiva de las nuevas máximas jurisprudenciales plasmadas en el ATS de 10 de febrero de 2011, que la demandante razonablemente no podía conocer cuando preparó el recurso de casación. En el presente caso, la inadmisión del recurso de casación se sustenta, precisamente, en que no se preparó conforme a las referidas máximas, lo que comporta imponer retroactivamente un novedoso régimen procesal desfavorable a la realización de un acto procesal totalmente concluido.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fecha 26 de diciembre del 2013, el Ayuntamiento de Málaga formuló sus alegaciones. En esencia, dicha entidad se remite a lo ya manifestado en el escrito de demanda, reiterando las pretensiones interesadas en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15 de enero del 2014. Descarta la vulneración del art. 14 CE., ya que el Ayuntamiento demandante no ha aportado un término valido de comparación, dado que ninguna de las resoluciones que cita ha sido dictada en recursos de casación interpuestos contra Sentencias de la Sala de lo Contencioso-Administrativo de la Audiencia Nacional, sino contra Sentencias dictadas por los Tribunales Superiores de Justicia. Por otro lado, las dos Sentencias que el demandante aporta como tertium comparationis no han sido dictadas por la Sección Primera de la Sala Tercera del Tribunal Supremo, sino por las Secciones Segunda y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 la pretendida vulneración del art. 24.1 CE, pues entiende que la argumentación ofrecida para inadmitir el recurso de casación no incurre en arbitrariedad, falta de razonabilidad o error patente. A mayor abundamiento, añade que el criterio mantenido por el órgano judicial en relación con los requisitos del escrito de preparación del recurso de casación, esto es, la obligación de indicar las concretas infracciones normativas o jurisprudenciales, se desprende del propio tenor de los apartados c) y d) del art. 88 LJCA. Por ello, concluye que el requisito cuyo incumplimiento ha determinado la inadmisión del referido recurso no viene impuesto por la jurisprudencia, sino por la propia normativa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afirma que cuando la parte demandante formuló el escrito de preparación del recurso de casación —el día 23 de septiembre de 2011— ya estaba vigente la nueva doctrina jurisprudencial iniciada con el ATS 2371/2011, de 10 de febrero; por tanto, nada de extraño tiene que el recurso de casación se inadmitiera en aplicación del criterio establecido en el auto objeto de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12 de mayo del 2012, del que trae causa el presente recurso de amparo. Por Auto de fecha 6 de noviembre de 2014, la Sala Segunda de este Tribunal resolvió estimar justificada la causa de abstención invocada, apartando definitivamente del conocimiento del presente recurso y de todas sus incidencias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17 de marzo de 2015, el Pleno, en su reunión de esa fecha y conforme establece el artículo 10.1 n) de la Ley Orgánica del Tribunal Constitucional, a propuesta de la Sala Segunda, acuerda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28 de abril de 2015 se señaló para deliberación y fallo de la Sentencia el día 30 del citado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10 de mayo del 2012, que acordó no admitir a trámite el recurso de casación interpuesto contra la Sentencia de la Sala de lo Contencioso-Administrativo de la Audiencia Nacional (Sección Octava) de 1 de septiembre de 2011, recaída en el procedimiento ordinario núm. 180-2010. También impugna la providencia mediante la que se inadmitió a trámite el incidente de nulidad de actuaciones, de fecha 10 de septiembre de 2012,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según se expresa con más detalle en los antecedentes de hecho de esta resolución, imputa a las resoluciones recurridas: (i) la vulneración de su derecho a la tutela judicial efectiva (art. 24.1 CE), en su vertiente de acceso a los recursos, porque la inadmisión acordada por el Auto impugnado se funda en un requisito de admisibilidad no exigido por la ley; (ii) la vulneración de su derecho a la tutela judicial efectiva (art. 24.1 CE), en su vertiente de acceso al recurso, dada la falta de explicación, por parte del Tribunal Supremo, sobre las razones determinantes del cambio de criterio jurisprudencial; la dificultad de conocer, en el momento de la preparación del recurso de casación, las nuevas pautas estatuidas por el Tribunal Supremo; y porque este órgano judicial no tuvo en cuenta que los eventuales defectos de forma del escrito de preparación quedaron sanados tras la admisión del escrito de preparación y la ulterior interposición del recurso de casación; (iii) la vulneración de su derecho a la igualdad en la aplicación judicial de la ley (art.14 CE), pues entiende que se ha producido una modificación irreflexiva y arbitraria de un criterio jurisprudencial consolidado, que además no se ha mantenido invariablemente en resoluciones posteriores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en esencia,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noviembre 2003, e Ipamark c. España,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breve exposición de la concurrencia de los requisitos de forma exigidos”), alcanzando la conclusión de que uno de esos requisitos ha de ser la cita, siquiera sucinta, de las normas y la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la excepción que, por disposición legal, establezca el efecto exclusivamente prospectivo de la Sentencia, como así se prevé en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ad personam o de ruptura ocasional en una línea que se venga manteniendo con normal uniformidad antes de la decisión divergente o se continúe con posterioridad (por todas, SSTC 105/2009, de 4 de mayo, FJ 4; y 178/2014,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Auto del Tribunal Supremo impugnado —lejos de ser una decisión particularizada y adoptada ad hoc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 acuerdo con el criterio mantenido por el Ministerio Fiscal, la parte demandante tampoco ha aportado un tertium comparationis adecuado para sustentar la vulneración del principio de igualdad en la aplicación de la ley, pues ni las resoluciones que se citan en la demanda de amparo vienen referidas a supuestos de hecho equiparables al presente caso, ni tampoco han sido dictadas por la Sección Primera de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Ayuntamiento de Málaga.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