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7 de abril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19 de julio de 2013 y Auto de 27 de diciembre de 2013 dictados por el Pleno de la Sala Tercera de lo Contencioso-Administrativo del Tribunal Supremo en el recurso núm. 349-2011 interpuesto contra el acuerdo del Pleno del Consejo General del Poder Judicial de 28 de abril de 2011, por el que se aprueba el Reglamento 2/2011 de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30 de marzo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349-2011 del que trae causa el presente recurso de amparo núm. 2282-2014.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Sala,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349-2011 seguido en la Sala Tercera de lo Contencioso-Administrativo del Tribunal Supremo que dictó la Sentencia de 19 de julio de 2013 y el Auto de 27 de diciembre de 2013, resoluciones que han sido impugnadas en el presente recurso de amparo núm. 2282-2014.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2282-2014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