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65</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13 de abril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día 13 de febrero de 2015, el Letrado don Antonio Cuerda Riezu, actuando en su propia defensa, formuló incidente de ejecución de la STC 199/2014, de 15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el escrito promoviendo el incidente de ejecución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esta Sala Segunda se dictó la STC 199/2014, de 15 de diciembre, en la que, estimando el recurso, acordó otorgar el amparo solicitado, reconociendo el derecho del recurrente a la legalidad en materia sancionadora (art. 25.1 CE) y, en su virtud, restablecer su derecho y a tal fin, anular las resoluciones del Director General de movilidad del Ayuntamiento de Madrid de fecha 24 de marzo de 2010 y 27 de abril de 2011, así como la Sentencia de 17 de septiembre de 2012 y Auto de 16 de noviembre de 2012 del Juzgado de lo Contencioso-Administrativo 24 de Madrid, que las confirman.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día 23 de enero de 2015, el demandante solicitó al Juzgado de lo Contencioso-Administrativo núm. 24 de Madrid que se notificara la Sentencia del Tribunal Constitucional al Ayuntamiento de Madrid, para que le repusieran los cuatro puntos del carnet de conducir retirados en su día, le devolvieran la cantidad de 221,80 € con los intereses legales, y por el Juzgado se procediera a la devolución de los dos depósitos constituidos por valor de 25 € con motivo de interponer sendos recursos de reposición.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diligencia de ordenación de fecha 29 de enero de 2015, dictada por la Sra. Secretaria Judicial del Juzgado de lo Contencioso-Administrativo núm. 24 de Madrid, se acordó requerir al Ayuntamiento para la reposición de los puntos y la devolución de la cantidad objeto de sanción, y no dar lugar a la devolución de los depósitos.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escrito promoviendo el incidente de ejecución, el demandante alega en síntesis que la referida diligencia de ordenación del Juzgado de lo Contencioso-Administrativo núm. 24 de Madrid se opone a lo resuelto en la Sentencia, por lo que solicita que se declare la nulidad de las resoluciones que indica, se ordene la devolución de la cantidad de 50 € constituida como depósito para recurrir, y se ordene al Ayuntamiento de Madrid que le reponga los cuatro puntos y le devuelva la cantidad de 221,80 €, más los intereses legales, de conformidad con el art 92.2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16 de febrero de 2015, la Sala Segunda de este Tribunal acordó tener por promovido incidente de ejecución de la Sentencia dictada en este recurso de amparo y dar audiencia al Ministerio Fiscal y al Sr. Letrado del Ayuntamiento de Madrid por plazo de diez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ante el Tribunal Constitucional presentó sus alegaciones mediante escrito registrado el día 13 de marzo de 2015, en el que considera que el incidente debe ser inadmitido por prematuro, pues ha sido planteado sin agotar los recursos e instrumentos disponibles en la vía judicial previa. Subsidiariamente, alega que si se entrase en el fondo y se adoptase la decisión que proceda conforme al sentido del fallo, no existe un esfuerzo argumentativo para justificar la cuantía y procedencia de los intereses legales y que sólo una interpretación favorable a la extensión del fallo constitucional a tal extremo colateral del depósito, podría determinar el acogimiento de la pretensión del recurrente.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incidente de ejecución se dirige contra la diligencia de ordenación de la Secretaria Judicial del Juzgado de lo Contencioso-Administrativo núm. 24 de Madrid de fecha 29 de enero de 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la pretensión de ejecución del actor, el Fiscal opone la inadmisibilidad del incidente por prematuro, puesto que el recurrente no ha agotado los recursos y remedios disponibles en vía judicial ordinaria, impugnando directamente ante este Tribunal la resolución de la Secretaria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92 de la Ley Orgánica del Tribunal Constitucional (LOTC) establece que este Tribunal podrá resolver las incidencias que se planteen respecto de la ejecución de sus resoluciones y que podrá también declarar la nulidad de cualesquiera resoluciones que contravengan las dictadas en el ejercicio de su jurisdicción, con ocasión de la ejecución de estas.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como indica el Fiscal, el recurrente ha acudido a la vía incidental del art. 92 LOTC sin agotar los recursos e instrumentos disponibles en la vía judicial previa para lograr la ejecución, puesto que impugna la diligencia de ordenación de fecha 29 de enero de 2015, dictada por la Sra. Secretaria Judicial del Juzgado de lo Contencioso-Administrativo núm. 24 de Madrid, frente a la cual cabe, cuanto menos, recurso de reposición, y ello al margen de la existencia de remedios procesales para garantizar la necesaria intervención del Juez, como titular exclusivo de la potestad jurisdiccional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razonamientos precedentes determinan que el presente incidente deba inadmitirse, ya que no se cumplen las exigencias de subsidiariedad de la jurisdicción de amparo, las cuales hemos calificado como esenciales (por todas, STC 185/1990, de 15 de noviembre, FJ 4), y que se concretan en la exigencia del agotamiento de los recursos o acciones judiciales previos establecidos en el ordenamiento jurídico, tanto en el caso de interposición de demanda, como en el de impugnación de la actividad de ejecución a través del incidente del art. 92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debe inadmitirse el incidente de ejecución promovido por don Antonio Cuerda Riezu por no haberse agotado la vía judicial previa.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incidente de ejecución de la STC 199/2014, de 15 de diciembre, dictada en el recurso de amparo núm. 11-2013.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abril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