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1462-2014,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marzo de 2014 tuvo entrada en el Registro General de este Tribunal un oficio de la Sala de lo Social, con sede en Burgos, del Tribunal Superior de Justicia de Castilla y León al que se acompaña, junto con el testimonio del procedimiento ordinario núm. 413-2013, Auto de 6 de febrero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Cuarenta pensionistas interpusieron demanda ante el Instituto Nacional de la Seguridad Social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1 de octubre de 2013 estimando en parte la demanda, declarando “el derecho de todos los demandantes a excepción de los que no cobraban pensión en el año 2011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citan el pago de determinadas cantidades que se especifican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6 de febrero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Justicia del Tribunal Constitucional de 13 de marzo de 2014 se interesa que se certifique si además del Ministerio Fiscal el resto de las partes personadas evacuaron el traslado conferido en providencia de 10 de diciembre de 2013, remitiendo en su caso copia de los escritos presentados. La Sala proponente contestó que “en el presente procedimiento se dio el traslado acordado en la providencia en la que se planteó la pertinencia de plantear la cuestión de inconstitucionalidad, pero sólo se presentó informe por el Ministerio Fiscal, cuyo testimonio se ha aportado en ese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 este Tribunal, a propuesta de la Sección Segunda, acordó admitir a trámite la cuestión mediante providencia de 6 de mayo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con fecha 26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 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se personó, mediante escrito de alegaciones registrado en el Tribunal el 30 de mayo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de la Ley general de la Seguridad Social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Letrado de la Administración de la Seguridad Social presentó su escrito de alegaciones el 11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la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tres de junio de dos mil quince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1462-2014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