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6396-2014,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octubre de 2014 tuvo entrada en el Registro General de este Tribunal un oficio de la Sala de lo Social, con sede en Burgos, del Tribunal Superior de Justicia de Castilla y León al que se acompaña, junto con el testimonio del procedimiento ordinario núm. 1398-2013,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Tres pensionistas interpusieron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estimando la demanda respecto de uno de los pensionistas y rechazándola respecto de los otros dos porque habían empezado a ser pensionistas el 1 de enero de 2012. En relación con el pensionista respecto del que se estima la demanda declara la Sentencia el derecho “a que se considere como pensión del año 2012 la señalada en el apartado segundo del relato histórico de la presente incrementada en un 2,9 por 100 y que la misma sirva de base para el incremento acordado en el año 2013” y el derecho “a percibir las diferencias correspondientes al año 2012 que son la diferencia entre el 1 por 100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16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16 de julio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octubre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admitir a trámite la cuestión mediante providencia de 18 de noviembre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26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5 de diciembre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27 de noviembre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presentado el 3 de diciembre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solo será y en la forma que fije la Ley de presupuestos generales cuando se determine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CE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el 5 de diciembre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presentó su escrito de alegaciones el 2 de enero de 2015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tres de junio de dos mil quince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6396-2014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