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6397-2014,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octubre de 2014 tuvo entrada en el Registro General de este Tribunal un oficio de la Sala de lo Social, con sede en Burgos, del Tribunal Superior de Justicia de Castilla y León al que se acompaña, junto con el testimonio del procedimiento ordinario núm. 206-2014,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pensionista interpuso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20 de mayo de 2014 estimando la demanda, declarando “el derecho de la demandante a que se considere como pensión del año 2012 la señalada en el apartado segundo del relato histórico de la presente incrementada en un 2,9 por 100 y que la misma sirva de base para el incremento acordado en el año 2013 y 2014”, así como “el derecho de la actora a percibir las diferencias correspondientes al año 2012 que son la diferencia entre el 1 por 100 aplicado y el 2,9 por 100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3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3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octubre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social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 de diciembre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9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17 de diciembre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12 de diciembre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15 de diciembre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el 26 de diciembre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Administración de la Seguridad Social por escrito registrado el 7 de enero de 2015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escrito de alegaciones ante este Tribunal el 8 de enero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Decreto-Ley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las SSTC 49/2015, de 4 de marzo; 95/2015, de 14 de mayo, y 109/2015, de 28 de mayo,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de acuerdo con la doctrina contenida en la STC 49/2015, de 4 de marzo, conducen a la conclusión que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