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6481-2014,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octubre de 2014 tuvo entrada en el Registro General de este Tribunal un oficio de la Sala de lo Social, con sede en Burgos, del Tribunal Superior de Justicia de Castilla y León al que se acompaña, junto con el testimonio del procedimiento ordinario núm. 166-2014, Auto de 15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pensionista interpuso demanda ante el Instituto Nacional de la Seguridad Social en reclamación de actualización de la pensión solicitando que se declarase el derecho a percibir la paga única compensatoria a que se refiere el apartado 1.2 del art. 48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estimando la demanda, declarando “el derecho del demandante a que se considere como pensión del año 2012 la señalada en el apartado segundo del relato histórico de la presente incrementada en un 2,9 por 100 y que la misma sirva de base para el incremento acordado en el año 2013” y el “derecho del actor a percibir las diferencias correspondientes al año 2012 que son la diferencia entre el 1 por 100 aplicado y el 2,9 por 100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 de octubre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 de octubre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15 de octubre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2 de diciembre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9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17 de diciembre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12 de diciembre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15 de diciembre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personó por escrito registrado el 26 de diciembre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el 7 de enero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presentó su escrito de alegaciones el 7 de enero de 2015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que “cuando se dictó el Real Decreto-ley 28/2012 los pensionistas solo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en el art. 2.1 del Real Decreto-ley 28/2012 falta un elemento indispensable para que pueda calificarse la no actualización de las pensiones de medida expropiatoria, cual es que, siguiendo lo dispuesto en la STC 108/1986, de 29 de julio, FJ 20, “solo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solo son indemnizables las privaciones de derechos ciertos, efectivos y actuales, pero no eventuales o futuros”. De ello se deduce que la norma impugnada es acorde con el art. 33 CE en la medida en que su aplicación no ha supuesto la expropiación de derechos patrimoniales consolidados, pues de lo que se ha privado a los pensionistas es de una expectativa, pero no de un derecho actual consolidado, y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6481-2014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