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25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11 de junio de 2014, don Juan Blas López Rodríguez, representado por el Procurador de los Tribunales don Antonio González Sánchez y asistido por el Letrado don Juan López Rueda, interpuso recurso de amparo contra el Auto dictado por la Sección Tercera de la Audiencia Provincial de Huelva, de 2 de mayo de 2014, en rollo de apelación núm. 199-2014 y contra el dictado por el Juzgado de lo Penal núm. 4 de Huelva, de 20 de diciembre de 2013, en ejecutoria núm. 445-2008. Consideraba que dichas resoluciones judiciales al denegar su solicitud de prescripción de la pena a la que había sido condenado, vulneraban su derecho a la tutela judicial efectiva, art. 24 CE, en relación con el art. 17 CE, y el principio de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27 de marzo de 2007, el demandante de amparo fue condenado por el Juzgado de lo Penal núm. 4 de Huelva, como autor de un delito de atentado a agente de la autoridad y de un delito de lesiones con uso de instrumento peligroso, por hechos cometidos el 24 de junio de 2003, imponiéndosele penas de tres años y dos años de prisión, respectivamente. El fallo fue confirmado en apelación mediante Sentencia de 27 de junio de 2008 por la Audiencia Provincial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31 de julio de 2008, se dictó Auto por el que declaraba firme la condena, abriéndose con ella la ejecutoria núm. 445-2008. Desde ese momento, la ejecutoria cuenta con los siguientes hechos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 de octubre de 2008, habiendo informado el Fiscal desfavorablemente a la concesión de la suspensión ordinaria de la condena, se dicta Auto denegando la señalada suspensión y acordando el cumplimiento de las penas impuestas. Recurrida dicha decisión, el Juzgado dicta Auto desestimatorio de la reforma, si bien acuerda el examen forense del penado para valoración de la eventual aplicación del art. 87 del Código penal (CP). El 15 de octubre de 2009, habiendo informado el Fiscal en forma desfavorable también a la concesión de este beneficio del art. 87 CP, se dicta Auto denegatorio de la suspensión extraordinaria. Decisión confirmada por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25 de octubre de 2011, el recurrente solicita la suspensión de la ejecución de la pena, al estar “pendiente de presentar la solicitud de indulto”. Petición denegada por Auto de 23 de marzo de 2011; decisión confirmada por la Audiencia Provincial. El 8 de marzo de 2013 se dicta providencia de orden de detención e ingreso en prisión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11 de marzo de 2013, el recurrente solicitó aplazamiento del ingreso en prisión, que le es denegado por providencia de esa misma fecha. El 11 de julio de 2013 se emite requisitoria para la detención e ingreso en prisión del penado. El 27 de septiembre de 2013, el Consejo de Ministros le deniega el indulto. El 2 de diciembre de 2013, se dicta Auto de rebeldía procesal; el 4 de diciembre de 2013 se deja sin efecto la declaración de rebeldía, al haberse hallado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11 de diciembre de 2013, el recurrente solicita la prescripción de las penas a las que fue condenado. Petición denegada por los Autos ahora impugnados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a la tutela judicial efectiva y a la libertad (arts. 24.1 y 17.1 CE), así como el principio de legalidad penal (art. 25.1 CE). Sostiene que el hecho de denegarle la prescripción de las penas impuestas “no supera el canon constitucional (de motivación) exigible, al ser manifiestamente incoherente con la norma que regula la prescripción de la pena”. Considera que las resoluciones impugnadas, al fundar la interrupción del plazo en que se han venido realizando actuaciones con contenido —y no de puro trámite— en orden a las sucesivas peticiones de suspensión de la condena por parte del reo, vienen a fijar causas de interrupción que no prevé el art. 134 CP, el cual sólo establece como tales la fecha de firmeza de la Sentencia y el quebrantamiento de la condena, si hubiere comenzado a cumplirse. Cita, en apoyo de su tesis, las SSTC 97/2010, 109/2013 y 192/2013.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abril de 2015, la Sección Tercera de este Tribunal acordó la admisión a trámite de la demanda de amparo, así como, a tenor de lo establecido en el art. 51 LOTC, requerir atentamente, tanto a la Sección Tercera de la Audiencia Provincial de Huelva, como al Juzgado de lo Penal núm. 4 de Huelva, para que remitieran testimonio de las actuaciones y emplazase a quienes fueron parte en el procedimiento, a excepción del demandante de amparo, para que pudieran comparecer en el presente proceso de amparo. Asimismo, debido a la urgencia excepcional a que se refiere el art. 56.3 LOTC, toda vez que la ejecución de la pena produciría un perjuicio de imposible o muy difícil reparación que haría perder su finalidad al recurso de amparo, se acordó la suspensión cautelar de la ejecución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para la tramitación del incidente sobre suspensión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8 de mayo de 2015, reitera su petición de que este Tribunal proceda a suspender el cumplimiento de la condena pendiente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11 de mayo de 2015, el Ministerio Fiscal considera que debe acordarse la suspensión de las penas privativas de libertad y sus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extensa cita del ATC 19/2014, de 27 de enero, considera que, puesto que el recurrente ha sido condenado a penas privativas de libertad que en su conjunto suman cinco años y que los hechos objeto de debate acaecieron en 2003, la suspensión de la pena no acarrearía una perturbación grave de los intereses generales ni de los derechos fundamentales de la víctima.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el recurrente en amparo impugna el Auto dictado por la Sección Tercera de la Audiencia Provincial de Huelva, de 2 de mayo de 2014, en rollo de apelación núm. 199-2014 y el dictado por el Juzgado de lo Penal núm. 4 de Huelva, de 20 de diciembre de 2013, en ejecutoria núm. 445-2008. Consideraba que dichas resoluciones judiciales al denegar su solicitud de prescripción de la pena a la que había sido condenado, vulneran su derecho a la tutela judicial efectiva, art. 24 CE, en relación con el art. 17 CE, y el principio de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como se ha recordado, por todos, en el ATC 19/2014, de 27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ATC 19/2014, de 27 de enero, recordábamos que “en relación con la suspensión de la ejecución de las penas privativas de libertad, este Tribunal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 33 del Código penal (ATC 44/2012,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en aplicación de la jurisprudencia citada y a la vista de las circunstancias concretas del presente caso, procede, de acuerdo a lo manifestado por el Ministerio Fiscal en sus alegaciones, mantener la suspensión de la ejecución de la penas privativas de libertad y sus accesorias, acordada por este Tribunal en la providencia de 27 de abril de 2015. En efecto, la duración de las penas privativas de libertad a la que ha sido condenado el recurrente (tres años de prisión por un delito de atentado a agente de la autoridad y dos años de prisión por un delito de lesiones) están dentro de los márgenes que este Tribunal ha considerado susceptible de ser suspendidas; además, como acertadamente ha destacado el Ministerio Fiscal, los hechos objeto de enjuiciamiento acaecieron en junio de 2003, por lo que la suspensión de la ejecución de las penas privativas de libertad a las que fue condenado el demandante de amparo no ocasionan una perturbación grave a los intereses generales.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ejecución de las penas privativas de libertad y las penas accesorias acordada por providencia de 27 de abril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