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mayo de 2015, doña Desiré Vicente Díaz, representada por la Procuradora de los Tribunales doña Celia Fernández Redondo y asistida por el Letrado don Juan Ramón Montero Estévez, interpuso recurso de amparo contra el Auto de 31 de marzo de 2015 dictado por la Sección Vigesimosegunda de la Audiencia Provincial de Madrid, en recurso de apelación 960-2014 que, revocando el Auto de 15 de abril de 2014, dictado por el Juzgado de Violencia sobre la mujer núm. 11 de Madrid al acordar la guarda y custodia de la menor a favor de la madre, ordenaba la restitución de la menor a Suiza, bajo la custodia del padre, así como contra la providencia de fecha 21 de mayo siguiente, que acordó la inadmisión del incidente de nulidad de actuaciones. En la demanda de amparo solicita que se dicte sentencia declarando que se han vulnerado los derechos de la recurrente a la tutela judicial efectiva y a un proceso con todas las garantías, y que se anulen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en el escrito de demanda, y de conformidad a lo dispuesto en el art. 56 de la Ley Orgánica del Tribunal Constitucional (LOTC), la recurrente solicitó la suspensión urgente de la resolución impugnada. Alegaba que debía suspenderse la ejecución inmediata de la entrega de la menor por cuanto que el recurso perdería su finalidad legítima y los perjuicios serían absolutamente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la Sala Segunda de este Tribunal, acordó la admisión a trámite de la demanda de amparo por providencia de fecha 25 de mayo de 2015, así como la suspensión cautelar de las resoluciones impugnadas al apreciar la urgencia excepcional a que se refiere el art. 56.6 LOTC, toda vez que dicha ejecución produciría un perjuicio de imposible o muy difícil reparación que haría perder su finalidad al amparo. Asimismo,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presentó escrito de alegaciones en fecha 10 de junio de 2015 en el que interesa la suspensión de la resolución recurrida en la demanda de amparo, alegando en síntesis que estando en discusión en la instancia judicial cuál sea el lugar en que debe residir la menor, sobre la que ambos progenitores tienen reconocida su custodia por los Tribunales de los países de los que son nacionales respectivamente y, encontrándose la menor en España desde el año 2013, donde fue traída por la madre sin oposición del padre para realizar el viaje, es patente que si se ejecuta la resolución resultaría imposible o extraordinariamente complejo lograr el retorno de la menor si se estimase el recurso, conclusión que es coincidente desde la perspectiva de los intereses de la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no presentó alegaciones en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fecha 11 de junio de 2015 se tuvo por personada a la Procuradora doña Margarita López Jiménez, en nombre y representación de don Philippe Kitsos, concediéndose el plazo de tres días para que alegara lo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19 de junio de 2015, la representación de don Philippe Kitsos formuló escrito de alegaciones en el que se oponía a la suspensión, alegando en síntesis que no existe perjuicio para la menor por su traslado a Suiza y que, por el contrario, sí resultan afectados sus intereses de permanecer en España al verse privada de la relación con su padre. Aduce asimismo que la madre está incumpliendo la legalidad, a la vez que el demandado está amparado por el Convenio de La Haya de 25 de octubre de 1980 sobre aspectos civiles de la sustracción internacional de menores.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56.6 de la Ley Orgánica del Tribunal Constitucional (LOTC) atribuye a las Salas y Secciones de este Tribunal la facultad de adoptar, en la propia resolución de admisión a trámite de los recursos de amparo, medidas cautelares inaudita parte, en supuestos de urgencia excepcional. En el ejercicio de tal facultad, mediante la providencia de 25 de mayo de 2015 se acordó suspender la ejecución de las resoluciones impugnadas al apreciar una urgencia excepcional por ser inminente el traslado de la menor a Suiza y apreciar que la materialización del mismo produciría un perjuicio de imposible o muy difícil reparación que podría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 AATC 213/2009, de 9 de julio, FJ 2; y 174/2013, de 9 de septiembre,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del art. 56.2 LOTC, este Tribunal ha venido entendiendo que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El mismo art. 56.2 LOTC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todos, ATC 27/2015, de 16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debemos tener en cuenta que resultan afectados los intereses de una menor, que se encuentra en España desde el año 2013 donde fue traída por su madre sin oposición del padre para realizar el viaje de vacaciones en España, y sobre cuya custodia existe un conflicto entre los progenitores, que es la controversia sobre la que versa la cuestión de fondo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sede cautelar, y al estar en juego el interés de la menor, para decidir acerca del otorgamiento o denegación de la suspensión instada debe realizarse una ponderación extremadamente cuidadosa y subordinada en todo caso a la protección jurídica de la persona y de los derechos de personalidad de la menor afectada (AATC 108/2005, de 14 de marzo, FJ 1; y 83/2014, de 24 de marzo,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punto, entiende el Tribunal que debe mantenerse la suspensión acordada para procurar, en su caso, una más adecuada efectividad de la Sentencia que resuelva el fondo del asunto, al tiempo que se preserva la estabilidad emocional de la menor, que se encuentra residiendo en España desde el año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sin prejuzgar la resolución de fondo, en este momento procesal se aprecia un periculum que conduce a mantener la suspensión acordada hasta la resolución de este recurso, en coherencia con lo manifestado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presente pieza por la providencia de 25 de mayo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