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20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 de julio de 2015 en el Registro General de este Tribunal el Fiscal ante el Tribunal Constitucional interpone recurso de súplica contra la providencia de la Sección Segunda de 25 de mayo de 2015 que acordó la inadmisión del recurso de amparo núm. 246-2015.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15 de enero de 2015 doña Esther Gómez García, Procuradora de los Tribunales, presenta recurso de amparo en nombre y representación de don Vicente Tormo Rodríguez y doña Soledad Peña Peña, bajo la dirección letrada de don Pedro Lago Pérez, contra el Auto del Juzgado de Primera Instancia núm. 2 de Córdoba, de 3 de diciembre de 2014, dictado en el procedimiento de ejecución hipotecaria núm. 843-2013 por el que se desestima el incidente de nulidad de actuaciones interpuesto contra la ejecución despachada. La demanda razona, en síntesis, que el órgano judicial vulneró el art. 24.1 CE al incumplir la doctrina constitucional sobre emplazamientos y notificaciones edictales; el órgano judicial habría emplazado a los demandantes por edictos sin agotar todas las posibilidades que tenía a su alcance para conseguir la notificación personal en el domicilio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examinar el recurso, la Sección Segunda del Tribunal Constitucional dicta providencia de 25 de mayo de 2015 por la que acuerda no admitirlo a trámite por no apreciar en el mismo la especial trascendencia constitucional que, como condición para su admisión, requiere el art. 50.1 b)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Fiscal ante el Tribunal Constitucional razona en primer término que la demanda de amparo satisfizo la carga de justificar su especial trascendencia constitucional, al señalar que el órgano judicial incumplió la doctrina constitucional tal como ocurre de forma general y manifiesta en la jurisdicción ordinaria, que son limitadas las posibilidades de defensa de la parte ejecutada y que los procesos ejecutivos hipotecarios afrontan una nueva realidad social. Tras ello, el Fiscal razona que el recurso reviste efectivamente especial trascendencia constitucional. Tras hacer suyas las razones del recurrente, añade las siguientes. En primer lugar, existiría un nuevo marco normativo (Leyes 13/2009, de 3 de noviembre, de reforma de la legislación procesal para la implantación de la oficina judicial; 4/2013, de 4 de junio, de medidas de flexibilización y fomento del mercado de alquiler de viviendas) que dotaría al recurso de especial trascendencia constitucional, tal como ha puesto de relieve la STC 122/2013. Se trataría del supuesto b) del fundamento jurídico 2 de la STC 155/2009, de 25 de junio: que el recurso “dé ocasión al Tribunal Constitucional para aclarar o cambiar su doctrina” como consecuencia de “cambios normativos relevantes para la configuración del contenido del derecho fundamental”. La especial trascendencia derivaría también de la repercusión social y económica que en los últimos tiempos han adquirido las ejecuciones hipotecarias y de la necesidad de reforzar la protección jurídica efectiva de los hipotecados (se citan las SSTC 28/2010, de 27 de abril, FJ 2; 1/2014, de 13 de enero, FJ 3, y 89/2015, de 11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 de julio de 2015, el Secretario de Justicia de la Sala Primera del Tribunal Constitucional tiene por recibido el escrito del Ministerio Fiscal y acuerda dar trasladado al demandante de amparo para que alegue lo que estime conveniente de conformidad con el art. 93.2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julio de 2015 tiene entrada en el Registro General de este Tribunal escrito de la Procuradora doña Esther Gómez García en nombre y representación de don Vicente Tormo Rodríguez y de doña Soledad Peña Peña, adhiriéndose al recurso de súplica interpuesto por el Ministerio Fiscal. Tras transcribir el apartado 3 del art. 686 de la Ley de enjuiciamiento civil (LEC) añadido por la Ley 13/2009 —“intentado sin efecto el requerimiento en el domicilio que resulte del registro…, se procederá a ordenar la publicación de edictos”—, recuerda que el Tribunal Constitucional ha matizado su sentido (STC 122/2013, de 20 de mayo). Sin embargo, este Tribunal no se habría pronunciado aún sobre el modo en que la reforma del art. 686 LEC influye en la obligación que el art. 155.2 LEC impone a cualquier demandante —“deberá indicar cuantos datos conozca del demandado y que puedan ser de utilidad para la localización de éste, como números de teléfono, de fax o similares”—. Aclarar este aspecto dotaría de especial trascendencia constitucional al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25 de mayo de 2015 de la Sección Segunda de este Tribunal, que acordó inadmitir el recurso de amparo núm. 246-2015 por no apreciar en el mismo la especial trascendencia constitucional que, como condición para la admisión del recurso de amparo, requiere el art. 50.1 b) de la Ley Orgánica del Tribunal Constitucional (LOTC), redactado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fundamenta la especial trascendencia constitucional del recurso en un doble criterio; por un lado, el nuevo marco normativo (Leyes 13/2009, de 3 de noviembre, de reforma de la legislación procesal para la implantación de la oficina judicial, y 4/2013, de 4 de junio, de medidas de flexibilización y fomento del mercado de alquiler de viviendas) sobre el que ha de proyectarse ahora la doctrina constitucional sobre el art. 24.1 CE en relación con los emplazamientos y notificaciones edictales; por otro, la repercusión social y económica que en los últimos tiempos han adquirido las ejecuciones hipotecarias.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resolver otro recurso de súplica, el ATC 86/2015, de 18 de noviembre, FJ único, señaló: “El Tribunal Constitucional ha dispuesto recientemente de varias ocasiones para fijar doctrina sobre el art. 24.1 CE en relación con problemas de emplazamiento y notificaciones edictales (SSTC 122/2013, de 20 de mayo, 30/2014, de 24 de febrero, 169/2014, de 22 de octubre, y 137/2014, de 8 de septiembre), sin que entreveamos en este caso circunstancias justificativas de una resolución de fondo en razón de su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declaración vale igualmente para este asunto, si bien “es preciso recordar una vez más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(AATC 173/2010, de 17 de noviembre, FJ 2; 29/2011, de 17 de marzo, FJ 2; 46/2011, de 28 de abril, FJ 2; en el mismo sentido, AATC 61/2010, de 31 de mayo, FJ 2; 201/2010, de 21 de diciembre, FJ 2, y 173/2010, de 17 de noviembre,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