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21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marzo de 2015 tuvo entrada en el Registro General del Tribunal Constitucional, un escrito del Abogado del Estado, actuando en la representación que legalmente ostenta, interponiendo recurso de inconstitucionalidad contra los siguientes apartados del art. 1 de la Ley 2/2014, de 20 de junio, de modificación de la Ley 2/2003, de 30 de enero, de vivienda de Canarias y de medidas para garantizar el derecho a la vivienda: 1 (por cuanto modifica el art. 1.2 de la Ley 2/2003); 4 [por cuanto modifica el art. 4 g)] de la Ley 2/2003); 6 [por cuanto modifica el art. 8.l), m) y n) de la Ley 2/2003]; 7 (por cuanto añade un nuevo art. 18.8 en la Ley 2/2003); 23 (por cuanto añade un nuevo art. 77 bis en la Ley 2/2003); 24 [por cuanto modifica el art. 78 f) de la Ley 2/2003], 26 (por cuanto modifica el título VIII de la Ley 2/2003, arts. 80 a 98) y 27 [por cuanto añade los nuevos arts. 106 i) y 99 e) en la Ley 2/2003], así como contra las disposiciones adicionales segunda y cuarta de la mencionada Ley 2/2014, de 20 de junio. Hace invocación expresa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Sucintamente expuestas, las alegaciones en las que se basa la demanda son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el Abogado del Estado, en primer lugar, que se afecta a la regulación del derecho de propiedad, concretamente, a su función social, en cuanto que la disposición impugnada contempla el deber de uso habitacional efectivo y establece consecuencias sancionadoras y expropiatorias para los propietarios de las viviendas libres no destinadas efectivamente al uso habitacional. Esta competencia, sin embargo, corresponde al Estado ex arts. 149.1.1 y 8 CE, ambos en relación con el art. 33 de la norma fundamental. Invoca, en segundo lugar, la vulneración de los arts. 25.1 y 9.3 CE, al establecer un régimen sancionador de carácter objetivo, sin tener en cuenta el principio de culpabilidad ni las razones que pueden justificar la desocupación de la vivienda. Considera, en tercer lugar, que el régimen sancionador, así como la causa expropiandi que la norma impugnada contempla, para cuando no se destinan las viviendas al uso habitacional vulneran el art. 14 CE, en cuanto que sólo están previstos para el supuesto en que la propiedad corresponde a una entidad de crédito. Alega, además, la infracción del principio de proporcionalidad al existir actuaciones alternativas más proporcionadas para hacer frente a la situación de necesidad a la que se refiere el preámbulo de la norma impugnada, sin que se trate de medidas indispensables ni necesarias, y sin que se cumpla el test de proporcionalidad en sentido estricto. Hace, finalmente, alusión a la vulneración de las competencias que atribuyen al Estado los apartados 11 y 13 del art. 149.1 CE, por cuanto las disposiciones impugnadas interfieren y afectan negativamente a la política económica y al sistema bancario y crediticio y ponen en peligro diversos bienes jurídicos, lo que se predica de toda la norma impugnada y, en especial, de la disposición adicional cuarta, y se apoya en los informes del Banco de España y de la Sociedad de gestión de activos procedentes de la reestructuración bancaria (SAREB) que se adjuntan con la demanda. Suplica, en consecuencia, la declaración de inconstitucionalidad de los preceptos mencionados.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14 de abril de 2015, el Pleno del Tribunal Constitucional acordó admitir a trámite el recurso de inconstitucionalidad promovido por el Presidente del Gobierno, contra los apartados del artículo 1 citados en el encabezamiento y las disposiciones adicionales segunda y cuarta de la Ley 2/2014, de 20 de junio, de modificación de la Ley 2/2003, de 30 de enero, de vivienda de Canarias y de medidas para garantizar el derecho a la vivienda; dar traslado de la demanda y documentos para personación y alegaciones al Congreso de los Diputados, al Senado, y al Gobierno y Parlamento de Canarias; tener por invocado el art. 161.2 CE que produce la suspensión y publicar la incoación del recurso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sendos escritos registrados en el Tribunal Constitucional el 22 y 23 de abril de 2015, los Presidentes del Senado y Congreso comunicaron los acuerdos de las Mesas de sus respectivas Cámaras de personarse en el procedimiento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Directora General del Servicio jurídico del Gobierno de Canarias, actuando en la representación que legalmente ostenta, se personó en este proceso constitucional el 27 de abril de 2015, solicitando una prórroga del plazo concedido para formular alegaciones, prórroga que fue acordada por el Pleno del Tribunal Constitucional mediante providencia de 28 de abril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de Canarias presentó sus alegaciones en el Tribunal Constitucional el 6 de mayo de 2015. En el escrito formulado al efecto concluye suplicando la declaración de constitucionalidad de los preceptos impugnados. En otrosí pide el levantamiento anticipado de la suspensión de la vigencia de los mencionados preceptos. Sucintamente expuestos, sus argumentos son los siguientes. La Ley autonómica pretende dar satisfacción al mandato del art. 47 CE dada la situación de crisis y las dificultades económicas relacionadas con la mala situación que atraviesan las familias y las dificultades de acceso a la financiación para su compra. Este precepto no consagra un derecho fundamental, pero ello no lo convierte en una previsión programática, ya que impone a los poderes públicos una obligación de actuar para el logro de dicha finalidad. Es más, este precepto puede actuar como límite a otros derechos fundamentales, y constituye el soporte material de otros derechos constitucionales. El fundamento competencial de la Ley parcialmente impugnada se encuentra en el art. 30.15 del Estatuto de Autonomía de Canarias que le atribuye competencias en materia de urbanismo y vivienda. El ejercicio de esta competencia se complementa con las ejercidas por el Estado. El deber de ocupar la vivienda se acomoda a lo previsto en la Ley 8/2013, de 26 de junio, de rehabilitación, regeneración y renovación urbanas (art. 3), encaja en las necesidades expuestas en el preámbulo de la Ley 4/2013, de 4 de junio, de flexibilización y fomento de alquiler de viviendas, y responde a las medidas adoptadas en países de nuestro entorno.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integra el destino habitacional en los deberes inherentes al derecho de propiedad de la vivienda cuyo incumplimiento conlleva consecuencias sancionadoras y expropiatorias, previsión que encaja de lleno en la competencia autonómica a raíz de lo afirmado en la STC 37/1987, de 26 de marzo, sobre la Ley de reforma agraria de Andalucía, y la STC 186/1993, de 7 de junio, dictada en relación con la Ley de la dehesa de Extremadura, que no tiene otro límite que el respeto al contenido esencial de la propiedad, límite que no se ignora en este caso pues no somete a la propiedad a limitaciones exorbitantes que la desnaturalicen. Tampoco vulnera las condiciones básicas establecidas por el Estado ex art. 149.1.1 CE, competencia ésta que no supone la delimitación del contenido esencial del derecho de propiedad, sino la determinación de sus condiciones básicas, sin que sea posible un diseño acabado del mismo [STC 61/1997, de 20 de marzo, FJ 7 a)]. No incide tampoco en la competencia que asiste al Estado ex art. 149.1.8 CE, pues la delimitación del derecho de propiedad no se produce necesariamente por la legislación civil sino que corresponde al legislador sectorial, estatal 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Rechaza también que la ley vulnere los arts. 25 y 9.3 CE en relación con el régimen sancionador, no sólo porque el fundamentar la declaración de vivienda deshabitada en indicios no es contrario al principio de presunción de inocencia, pues la convicción judicial de un proceso puede formarse sobre este tipo de prueba siempre que los indicios estén plenamente probados y no se trate de meras sospechas, y se explicite el razonamiento según el cual se llega a la conclusión que se ha producido la conducta infractora. Tampoco existe una responsabilidad objetiva en cuanto que la resolución que declara la vivienda deshabitada se dicta tras un procedimiento contradictorio en el que pueden proponerse pruebas y la propia ley se refiere a la negativa a colaborar con la Consejería cuando no se desprenda la existencia de una causa que pueda justificar que la vivienda está deshabitada.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infringe la prohibición de arbitrariedad del art. 9.3 CE porque los preceptos impugnados persiguen asegurar el derecho a una vivienda digna y se orientan desde parámetros de proporcionalidad, incluyendo la previsión de medidas sancionadoras aplicables a las personas jurídicas que no den a las viviendas el uso habitacional que integra la función social de este derecho. Lo mismo señala en relación con el art. 14 CE que no se ve vulnerado al no existir identidad entre los supuestos fácticos a contemplar. El fin de la vivienda en el caso de las personas jurídicas no es satisfacer el derecho a la vivienda digna, sino que responde a un interés especulativo o al mantenimiento del valor contable de la inversión. El trato diferenciado responde al distinto alcance del potencial económico y social de las personas jurídicas entidades de crédito frente a las personas físicas, lo que justifica que las medidas dirigidas a las personas físicas sean de fomento, mientras que las diseñadas para las personas jurídicas sea de otro tipo. Se respeta así mismo el principio de proporcionalidad. Los preceptos impugnados son respetuosos con el contenido esencial del derecho de propiedad, son medidas idóneas para responder a la finalidad legítima pretendida cual es la de hacer efectivo el art. 47 CE, haciendo frente a un parque de viviendas vacías y situaciones potenciales de exclusión social; son necesarias habida cuenta de la insuficiencia que han demostrado las adoptadas por el Estado y son proporcionales en sentido estricto por cuanto debe prevalece la defensa del interés general derivado de la efectividad del derecho a la vivienda frente a los demás bienes jurídicos que pueden verse afectados. Finalmente, en lo que atañe a la vulneración de las competencias estatales del art. 149.1.11 y 13 CE por la regulación de la causa expropiatoria considera que las alegaciones del Estado son voluntaristas, pues los daños o incidencia en el sistema no han sido cuantificados en los informes que aporta junto con la demanda, reiterando, además, los argumentos vertidos en los votos particulares formulados al ATC 69/2014, a los que hay que añadir que el parque de viviendas que podrían estar afectadas en Canarias no supera el 2,94 por 100 del total, sin que se pueda determinar cuántas de ellas pertenecen a personas físicas o jurídicas.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22 de mayo de 2015 presentó sus alegaciones la Directora General del Servicio jurídico del Gobierno de Canarias, actuando en representación de este último. Tras destacar la relación existente entre esta Ley y el mandato contenido en el art. 47 CE, pasa a contestar las alegaciones de la demanda. La regulación del contenido del derecho de propiedad privada de la vivienda que establece la Ley impugnada no queda desnaturalizado con la Ley impugnada, permanecen intactas las facultades dominicales y se procede a la expropiación del uso con las garantías establecidas en el art. 33.3 CE. De acuerdo con la doctrina constitucional, el art. 33 CE no habilita para una regulación uniforme de la propiedad privada y su función social. Al Estado corresponde establecer el contenido básico y primario del derecho de propiedad en cuanto afecte a sus condiciones básicas, pero no la regulación de cualesquiera condiciones que afecten al derecho. La Comunidad Autónoma de Canarias ostenta competencia en materia de vivienda, por lo que puede regular normas atinentes a la propiedad de la vivienda con el respeto a lo establecido en el art. 149.1.1 y 8 CE. La Comunidad Autónoma no ha vulnerado el principio de igualdad por contar con un régimen legal distinto de la propiedad de la vivienda respecto al establecido en otras partes del territorio nacional pues, conforme a la STC 186/1993, que recuerda a su vez la STC 37/1987, la igualdad requiere la de las posiciones jurídicas fundamentales, pero no una absoluta identidad de las mismas, así como la STC 37/1987 estableció el alcance del título del art. 149.1.8 CE que no comprendía la función de delimitación del contenido de cada propiedad. Tampoco se vulnera el art. 25 CE. La Ley establece un procedimiento para la declaración de vivienda desocupada y tipifica como infracción el incumplimiento del deber legal de las personas jurídicas de destinarlas a un uso habitacional efectivo tras un procedimiento contradictorio en el que se justifique el motivo por el que se mantiene desocupada, bastando para eludir la infracción, que se acredite que la vivienda se ha puesto a disposición del mercado inmobiliario para que pueda estar arrendada y que no está ocupada por causas ajenas a su voluntad, sin que se exija que se arriende a cualquier precio o se ceda su uso gratuitamente. Aunque el deber de destinar la vivienda al uso habitacional efectivo se impone a todos los propietarios, la Ley otorga un tratamiento distinto a las personas jurídicas que no aparece proscrito por el art. 14 CE, basta con que no se funde en alguna de las interdicciones previstas en este precepto, responda a objetivos constitucionalmente válidos, que la distinción se articule en términos adecuados a esa finalidad y que sus consecuencias jurídicas sean proporcionadas a este fin. Sólo se impone una sanción a los titulares por el incumplimiento del destino habitacional efectivo de las viviendas a las personas jurídicas a las que se les supone un potencial social y económico diferente al de las personas físicas, estándose pues ante un tratamiento desigual de los desiguales. Corresponde a la Comunidad Autónoma la competencia exclusiva en materia de vivienda por lo que a ella corresponde fijar la causa expropiandi así como los fines de interés público que se pretenden satisfacer en función de la política de vivienda elegida, habiéndose respetado las garantías procedimentales y patrimoniales previstas por la legislación estatal. El Consejo de Estado no opuso reparo alguno a la regulación de la expropiación del derecho de uso contemplado en el Decreto-ley andaluz, lo cual es trasladable a este supuesto tanto más cuanto la disposición adicional cuarta especifica que los deudores hipotecarios a quienes no resulte de aplicación las medidas contenidas en la legislación estatal de protección de los deudores hipotecarios, podrán acogerse a ella, con lo que se descarta que el legislador canario haya pretendido, siquiera por vía indirecta, interferir en las normas del Estado, dado el carácter subsidiario de esta medida. Finalmente, en relación con el art. 149.1.13 CE recuerda que no puede convertirse en un título tan expansivo que vacíe de competencias a las Comunidades Autónomas, cuando por otra parte, el peligro a una de las líneas de actuación abordadas por el Estado, a saber, la reestructuración del sistema financiero y la estabilidad de las entidades de crédito, es puramente potencial, siendo, por tanto, la demanda sustentada en este título meramente preventiva. Así lo demuestra el informe del Banco de España aportado junto con la demanda en el que esta entidad reconoce que es difícil realizar una valoración cuantitativa de las medidas que la Ley autonómica contempla sobre el sector financiero y la consecución de los objetivos objeto de seguimiento por las autoridades europeas. Estos temores no son bastantes para eliminar el reparto constitucional de competencias. En cuanto al informe elaborado por la SAREB que se limita a expresar su temor sobre los efectos adversos que podría ocasionar la aplicación de las medidas contempladas en la Ley canaria, cabe señalar que desconoce que las sanciones sólo podrán ser impuestas tras la tramitación del correspondiente expediente en que la entidad podrá justificar en qué medida su actividad le hace difícil cumplir los deberes que se le imponen, tanto en relación con la obligación de colaboración, como con las sanciones que se podrían imponer en relación con la vivienda deshabitada, que es capaz de cuantificar el impacto económico de las citadas medidas.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25 de mayo de 2015, el Pleno del Tribunal Constitucional acordó unir a los autos los escritos de alegaciones presentados por el Parlamento y Gobierno de Canarias, y oír a las partes personadas para que expongan lo que estimen procedente sobre el levantamiento o mantenimiento de la suspensión solicitada por el Parlamento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2 de junio de 2015 presentó sus alegaciones en este incidente cautelar el Abogado del Estado. Alega graves e irreparables perjuicios derivados del levantamiento de la suspensión que acredita a partir del informe de la Secretaría General Técnica del Ministerio de Economía y Competitividad que se aporta, junto con los informes del Banco de España y la SAREB, previamente adjuntados a la demanda. Estos perjuicios se resumen en los siguientes: (i) afectación directa a la SAREB cuyo éxito es garantía de la reestructuración de las entidades de crédito; (ii) incremento de los costes de reestructuración asumidos por el Estado sin añadir mayor protección a los deudores hipotecarios. Cita, asimismo, los AATC 69/2014, y 115/2014 recaídos en relación a disposiciones autonómicas de Navarra y Andalucía, de contenido muy similar a la Ley aquí impugnada, en los que este Tribunal acordó el mantenimiento de la suspensión. Y recuerda finalmente, a sabiendas de que no es relevante para la decisión que ahora ha de adoptarse, la sentencia del Tribunal Constitucional de 14 de mayo de 2015, recaída en el recurso del Gobierno contra el Decreto-ley 6/2013, de 9 de abril, de Andalucía. Alega que los intereses de los particulares afectados en orden a decidir sobre el levantamiento o mantenimiento de la suspensión ya han sido protegidos por la norma estatal, en concreto el Real Decreto-ley 1/2015, de 27 de febrero, de mecanismo de segunda oportunidad, mientras que la Ley impugnada podría comportar un aumento del riesgo asumido por las entidades en los créditos que podría conllevar la exigencia de mayores primas de riesgo para la concesión de préstamos hipotecarios en el futuro para compensar pérdidas esperadas mayores, lo que afectaría a las familias con mayor riesgo de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daños para el sistema financiero se consideran tales, en primer lugar, el riesgo de incumplimiento de los compromisos de nuestro país de carácter internacional —memorando de entendimiento— habiendo destacado la Comisión Europea el potencial impacto negativo de iniciativas autonómicas de protección de deudores hipotecarios para las actividades de la SAREB, tanto de forma directa (sanciones por viviendas desocupadas), como indirectas (aumento de incertidumbre). En segundo lugar, las inquietudes manifestadas por las autoridades internacionales se consideran tales por el Banco de España que señala algunos de los aspectos más preocupantes de la Ley. En cuanto a las medidas destinadas a los desahucios, se pone de manifiesto que la coexistencia de dos regímenes, uno de ellos basado en la suspensión de los procedimientos ejecutivos, el otro en medidas coercitivas (sanción o expropiación), hace previsible que surjan conflictos de aplicación que pongan en riesgo tanto la seguridad jurídica como la finalidad de protección por ellas perseguida, aun cuando la Ley canaria establece la cautela de su aplicación subsidiaria de la del Estado. Sólo una única norma garantizaría la aplicación coherente de las medidas de protección de los deudores, criterio acogido, señala el Abogado del Estado, en la STC de 14 de mayo de 2015. Los efectos de estas medidas sobre la SAREB y el desarrollo de su plan de negocio en lo que afecta en concreto a las medidas 17 y 15, relativas a la eliminación inmediata de activos problemáticos de sus balances, y gestión de los activos para realizar su valor a largo plazo, consistentes en la preparación de un plan de largo alcance y un marco legislativo para el establecimiento y funcionamiento de la entidad de gestión de activos, y adopción de normas para que esté operativa antes de noviembre de 2012. Desde este punto de vista, la Ley canaria incide directamente sobre este instrumento de reestructuración pudiendo incrementar el coste económico de las medidas estatales. Finalmente en cuanto al impacto potencial en el sector bancario de las medidas consistentes en la expropiación del uso de las viviendas en favor de los ejecutados en condiciones de exclusión, no se cuentan con indicadores cuantitativos del impacto de la medida, pero cualitativamente se produciría un incremento del riesgo de las entidades en los créditos ya concedidos con impacto negativo en la estabilidad financiera, podría tener impacto en las emisiones de cédulas hipotecarias y otros valores garantizados por préstamos hipotecarios debido al deterioro de la calidad de la garantía subyacente, con el consiguiente posible descenso en la cotización de los títulos, un incremento de los costes de financiación de las entidades y un incremento de las dificultades de refinanciación de los títulos según van venciendo. Asimismo se producirá mayor coste derivado del cumplimiento de las obligaciones de información y comunicación de 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informe de la SAREB, prosigue, pone de manifiesto que la Ley impugnada puede conllevar la distorsión parcialmente intensa del mercado de crédito e incluso de la evolución de los sectores financiero e inmobiliario y de los programas para su saneamiento con el correspondiente menoscabo de la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todo ello hay que añadir, aún, en opinión del Abogado del Estado, el riesgo de generalización de las medidas adoptadas al resto de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Las alegaciones de la Directora General del Servicio jurídico del Gobierno de Canarias fueron registradas en el Tribunal Constitucional el 2 de junio de 2015. En ellas hace suyas las consideraciones vertidas en el voto particular de los AATC 69/2014, de 10 de marzo, y 115/2014, de 8 de abril, haciendo hincapié en que la STC de 14 de mayo no ha declarado inconstitucionales todas las medidas adoptadas por el Decreto-ley 6/2013 de Andalucía. En cuanto a los perjuicios que derivarían del levantamiento de la suspensión, tras recordar la presunción de validez de la norma autonómica y reproducir íntegramente su exposición de motivos, recuerda que esta norma no afecta a la estatal en cuanto a la expropiación del derecho de uso de las viviendas en favor de los ejecutados en condiciones de exclusión social, pues esta contempla expresamente su aplicación subsidiaria. Por el contrario, de mantenerse la suspensión se estaría menoscabando el interés público que subyace en el ejercicio por la Comunidad Autónoma de su competencia. En concreto se impediría la elaboración del registro de viviendas deshabitadas que puede proporcionar una información útil para la comprobación o seguimiento de las viviendas vacías y permitiría atender las necesidades de familias con amenaza de desahucio, y las medidas de fomento. Perjudicaría, además, a quienes habiendo sido ejecutados, podrían permanecer en las viviendas en las que son deudores hipotecarios. Los informes aportados por el Abogado del Estado no acreditan, en fin, la existencia de perjuicios de imposible o difícil reparación. Se trata de simples temores hipotéticos, pero no daños acreditados que contrastan incluso con el informe de estabilidad financiera 11/2014 del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10 de junio de 2015 tuvo entrada en el Registro General del Tribunal Constitucional un escrito del Letrado del Parlamento de Canarias, en que suplica el levantamiento de la suspensión. Tras exponer los criterios que tiene en cuenta la doctrina constitucional a los efectos de resolver este incidente, alega que la Abogacía del Estado no ha acreditado los daños que se irrogarían por el levantamiento de la suspensión, haciendo suyos los argumentos expuestos en el voto particular del ATC 69/2014, que transcribe parcialmente. Añade, por otra parte, que las ejecuciones hipotecarias en Canarias entre 2008 y 2013 (datos del Consejo General del Poder Judicial) sólo afectan al 5,5 del total estatal de ejecuciones hipotecarias. Que de acuerdo con el Instituto Nacional de Estadística el stock de viviendas vacías representa un 2,94 por 100 del total nacional sin que existan datos sobre la propiedad de personas jurídicas o físicas de las mismas. Ello indica la limitada incidencia potencial de la Ley canaria impugnada, lo que priva de credibilidad al argumento del Abogado del Estado. A ello hay aún que añadir, que la expropiación del derecho de uso no se contempla con carácter general, sino para un colectivo muy limitado, que el levantamiento de la suspensión permitiría a las personas que se encuentran en riesgo de exclusión social beneficiarse de sus medidas, mientras que su mantenimiento conllevaría un perjuicio irreparable para las familias que deben abandonar su domicilios por impago de las cuotas de sus hipotecas, cuando los perjuicios que hubieran sufrido las entidades financieras serían compensables económicamente.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trata en este incidente cautelar de resolver el mantenimiento o levantamiento de la suspensión de la vigencia de los siguientes apartados del art. 1 de la Ley 2/2014, de 20 de junio, de modificación de la Ley 2/2003, de 30 de enero, de vivienda de Canarias y de medidas para garantizar el derecho a la vivienda: 1 (por cuanto modifica el art. 1.2 de la Ley 2/2003); 4 [por cuanto modifica el art. 4 g) de la Ley 2/2003]; 6 [por cuanto modifica el art. 8.l), m) y n) de la Ley 2/2003]; 7 (por cuanto añade un nuevo art. 18.8 en la Ley 2/2003); 23 (por cuanto añade un nuevo art. 77 bis en la Ley 2/2003); 24 [por cuanto modifica el art. 78 f) de la Ley 2/2003], 26 (por cuanto modifica el título VIII de la Ley 2/2003, arts. 80 a 98) y 27 [por cuanto añade los nuevos arts. 106 i) y 99 e) en la Ley 2/2003], así como de las disposiciones adicionales segunda y cuarta de la mencionada Ley 2/2014, de 20 de junio, todos ellos impugnados en el recurso de inconstitucionalidad 1824-2015, interpuesto por el Presidente del Gobierno contra esta ley autonómica, con invocación de los arts. 161.2 CE y 30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suplica el mantenimiento de la suspensión. Sus alegaciones, recogidas de forma pormenorizada en los antecedentes, son sustancialmente coincidentes con las expuestas en los dos incidentes cautelares que fueron resueltos por este Tribunal con el mantenimiento de la suspensión de los preceptos impugnados de dos Leyes autonómicas. En concreto, de la Ley 24/2013, de 2 de julio, de Navarra, de medidas urgentes para garantizar el derecho a la vivienda, y de la Ley 4/2013, de 1 de octubre, de la Comunidad Autónoma de Andalucía, de medidas para asegurar el cumplimiento de la función social de la vivienda (AATC 69/ 2014, de 10 de marzo, y 115/2014, de 8 de abril, respectivamente). El propio Abogado del Estado trae a colación los Autos recién citados en apoyo de su pretensión. Por su parte, tanto el Parlamento como el Gobierno de Canarias suplican el levantamiento de la suspensión, entre otros, por los argumentos vertidos en el voto particular a ambos Autos, que hacen suyos.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preceptos ahora impugnados imponen a los propietarios de viviendas el deber de destinarlas de forma efectiva al uso habitacional, cuyo incumplimiento se tipifica como infracción cuando la propiedad corresponda a personas jurídicas; contemplan entre las competencias de la Administración, la definición y ejercicio de acciones tendentes a evitar la existencia de viviendas vacías mediante la declaración, inspección y sanción, competencias que se atribuyen al Instituto Canario de la Vivienda; asigna los recursos obtenidos por el ejercicio de la potestad sancionadora a sufragar las expropiaciones de uso en los procedimientos de desahucio por ejecución hipotecaria; regula las viviendas deshabitadas y el procedimiento para su declaración; la tramitación electrónica del procedimiento de declaración de vivienda deshabitada, y, finalmente , la declaración de interés social a efectos de expropiación forzosa de la cobertura de necesidad de vivienda de personas en especiales circunstancias de emergencia social. Esto es, su contenido es muy similar al de las Leyes autonómicas antes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resolución que ahora debemos adoptar sólo puede ser el resultado de ponderar, de un lado, los perjuicios reales y efectivos asociados al levantamiento de la suspensión, y, de otro, la presunción de constitucionalidad de que gozan las normas legales y los menoscabos de intereses públicos y privados consecuencia de su mantenimiento, dejando a un lado cualquier consideración sobre el fondo de la inconstitucionalidad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quiera que los daños y perjuicios ahora invocados por el Abogado del Estado son los mismos que se pusieron de manifiesto y valoraron los AATC 69/2014, de 10 de marzo, y 115/2014, de 8 de abril, y similares, también, los menoscabos de intereses públicos y privados derivados de la inaplicación de la norma autonómica, sin que las partes hayan traído a colación nuevos elementos entonces no considerados, el resultado de nuestra ponderación debe ser el mismo que entonces. En consecuencia, debe mantenerse la suspensión de los preceptos impugnados por las razones ya expuestas, que son, de forma muy sucinta,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Existe un perjuicio cierto para el interés general que subyace en el buen funcionamiento y estabilidad del sistema financiero en su conjunto, pues aunque en términos cuantitativamente reducidos, producen un menoscabo para la estabilidad, de manera que puede ponerse en riesgo la reestructuración bancaria apoyada con dinero público y el cumplimiento por España de sus compromisos internacionales, debiéndose tener en cuenta, además, que a la presente Ley deben sumarse las dos Leyes autonómicas anteriormente mencionadas. Este riesgo ha quedado acreditado con los informes relativos a la tercera y quinta revisión del programa de asistencia financiera para la recapitalización de las instituciones financieras en España, y con el informe del Banco de España cuyos datos no han sido desacreditados por los letrados autonómicos que se han limitado a afirmar que se trata de meras suposiciones. El valor probatorio del primero reside en que la Comisión Europea, el Banco Central Europeo y el Fondo Monetario Internacional han participado en su elaboración siendo estas entidades especializadas en la materia e independientes de las partes, la misma independencia y especialización que se predica del Banco de España (ATC 69/2014, FFJJ 5, 6 y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produciría un daño para la seguridad jurídica derivado, no de que las actuaciones de la Administración de la Comunidad Autónoma puedan quedar en entredicho si la resolución si la resolución de fondo fuera favorable al Estado, sino de la mera convivencia sobre una misma realidad material de regímenes jurídicos dispares (ATC 69/2014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derivados de la suspensión y consistentes en el menoscabo del interés público al que responde la norma autonómica, esto es, la garantía del derecho a la vivienda y el interés privado de los colectivos más vulnerables que se verían beneficiados, resultan notoriamente reducidos porque el Estado también ha dispuesto normas que atienden a estos mismos intereses (ATC 69/2014, FJ 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 los siguientes apartados del art. 1 de la Ley 2/2014, de 20 de junio, de modificación de la Ley 2/2003, de 30 de enero, de vivienda de Canarias y de medidas para garantizar el derecho a la vivienda: uno (por cuanto modifica el art. 1.2 de la Ley 2/2003); cuatro [por cuanto modifica el art. 4 g) de la Ley 2/2003]; Seis [por cuanto modifica el art. 8.l), m) y n) de la Ley 2/2003]; siete (por cuanto añade un nuevo art. 18.8 en la Ley 2/2003); veintitrés (por cuanto añade un nuevo art. 77 bis en la Ley 2/2003); veinticuatro [por cuanto modifica el art. 78 f) de la Ley 2/2003], veintiséis (por cuanto modifica el título VIII de la Ley 2/2003, arts. 80 a 98) y veintisiete [por cuanto añade los nuevos arts. 106 i) y 99 e) en la Ley 2/2003], así como de las disposiciones adicionales segunda y cuarta de la mencionada Ley 2/2014, de 20 de junio.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las Magistradas doña Adela Asua Batarrita, doña Encarnación Roca Trías, y los Magistrados don Fernando Valdés Dal-Re y don Juan Antonio Xiol Ríos, al Auto de 21 de julio de 2015, dictado en el incidente de suspensión del recurso de inconstitucionalidad núm. 1824-2015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todo el respeto que nos merece la opinión de la mayoría, debemos manifestar nuestra discrepancia con la suspensión de los preceptos de la Ley 2/2014, de 20 de junio, de modificación de la Ley 2/2003, de 30 de enero, impugnados en este proceso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artículos cuestionados de la Ley Canaria 2/2014, de 20 de junio, guardan un sustancial parecido con los preceptos, también recurridos ante este Tribunal, de la Ley Foral 10/2010, de 10 de mayo, de derecho a la vivienda en Navarra y de la Ley 4/2013, de 1 de octubre, de la Comunidad Autónoma de Andalucía, de medidas para asegurar el cumplimiento de la función social de la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intereses que podrían verse afectados por el levantamiento de la suspensión de la Ley autonómica que, en este incidente, alega el Abogado del Estado son exactamente los mismos que expuso en los incidentes de suspensión que dieron lugar a los AATC 69/ 2014, de 10 de marzo, y 115/2014, de 8 de abril.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consecuencia, por las mismas razones que pusimos de manifiesto en los Votos particulares que suscribimos en ambos casos y a las que ahora nos remitimos, creemos que no ha quedado acreditado que la inmediata aplicación de la Ley 2/2014, de 20 de junio, pueda acarrear más daño al interés general que el derivado de la contradicción denunciada con la legislación estatal. Ello no es, sin duda, razón suficiente para enervar la presunción de validez de las disposiciones legales autonómicas. De ahí que el Auto del que discrepamos debiera haber acordado el levantamiento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julio de dos mil quince.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