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21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Mediante escrito registrado en este Tribunal el día 17 de junio de 2015, el Letrado de la Junta de Andalucía, en representación de su Consejo de Gobierno, interpuso recurso de inconstitucionalidad contra el art. 23 y la disposición transitoria octava de la Ley 15/2014, de 16 de septiembre, de racionalización del sector público y otras medidas de reforma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en los antecedentes que el recurso se interpone a solicitud del Consejero de Educación, Cultura y Deporte en funciones, dado que el plazo de interposición finaliza el 17 de junio, y ante la imposibilidad de recabar la previa autorización por parte del Consejo de Gobierno con anterioridad a la citada fecha. Con la demanda aporta la referida solicitud del Consejero autonómico en funciones.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conformidad con lo establecido por los arts. 162.1 a) CE y 32.2 de la Ley Orgánica del Tribunal Constitucional (LOTC), los únicos órganos de las Comunidades Autónomas legitimados para interponer un recurso de inconstitucionalidad son los órganos colegiados ejecutivos y las Asambleas de las Comunidades Autónomas, previo acuerdo adoptado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ausencia de acuerdo del Consejo de Gobierno de la Junta de Andalucía, es patente la falta de legitimación del Consejero autonómico en funciones para la interposición de este recurso, por lo que procede su inadmisión, atendiendo a la doctrina constitucional recogida en la STC 42/1985, de 15 de marzo: “el ejercicio de la acción requiere la previa formación de la voluntad impugnatoria de acuerdo con las reglas de procedimiento interno propias del órgano en cuestión, y el recurso no será admisible cuando no se acredite la preexistencia de tal voluntad. Este es, efectivamente, el requisito que la LOTC (art. 32.2) impone para la interposición del recurso de inconstitucionalidad por parte de los órganos ejecutivos colegiados o las Asambleas Legislativas de las Comunidades Autónomas, únicos órganos colegiados que en el referido precepto se contemplan. No cabe duda de que tales órganos colegiados tienen la capacidad suficiente para ejercer la acción de inconstitucionalidad o, si se quiere, la legitimatio ad processum. A falta de ese acuerdo previo que el mencionado precepto exige, la acción intentada en su nombre, incluso por quien ostente en términos irreprochables su representación procesal, no puede conducir a un pronunciamiento sobre el fondo de la pretensión cuando, de oficio o a instancia de parte, se advierte su defecto. En cuanto que en el tenor literal del artículo tan repetidamente citado se enlaza la existencia del acuerdo previo con la legitimación del órgano, parece razonable pensar que ésta es concebida más como condición de la acción que como mero requisito procesal, mas sea cual fuere la construcción doctrinal que a partir de los textos se haga, queda fuera de toda duda que la acción de inconstitucionalidad intentada por un órgano colegiado requiere la preexistencia de un acuerdo del mismo”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más reciente STC 71/2014, de 6 de mayo, reitera el mismo criterio, recordando que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delegada ni transmitido el poder para ejercerla (STC 42/1985, de 15 de marzo, FJ 2; doctrina reiterada en la STC 61/1997, de 20 de marzo, FJ 4)’”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recurso de inconstitucionalidad núm. 3575-2015.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