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6809-2014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de madres y padres de alumnos Madre María de la Purísima del colegio Ángela Guerrero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Junta de Andalucía, mediante escrito presentado el 9 de septiembre de 2014, consideró que procedía el planteamiento de la cuestión. La parte recurrente, por escrito presentado el 16 de septiembre, se opone al planteamiento de la cuestión. Mediante escrito de 23 de septiembre de 2014, sin pronunciarse sobre el fondo del asunto y atendiendo solo a los aspectos formales, el Ministerio Fiscal expresó la procedencia de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del Tribunal Constitucional,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Vicepresidenta Primera y Presidenta en funciones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febrero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acuerdo del Presidente del Tribunal de 10 de noviembre de 2015, de conformidad con el art. 15 LOTC y el acuerdo del Pleno del Tribunal Constitucional de 20 de enero de 2005, el Excmo. Sr. Presidente asumió la ponencia de la presente cuestión de inconstitucionalidad, en sustitución del Magistrado Excmo. Sr. don Luis Ignacio Ortega Álvarez,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 Sesenta y uno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