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6811-2014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instituto de vida consagrada “Hermanas de la Compañía de la Cruz”, titular de dos centros docentes privados, interpuso recurso contencioso-administrativo contra la Orden de 27 de febrero de 2013, de la Consejería de Educación de la Junta de Andalucía, por la que fue resuelta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3 de julio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Letrado de la Junta de Andalucía consideró que procedía el planteamiento de la cuestión, al estimar que el art. 17.8 de la Ley 17/2012, de 27 de diciembre, infringe el art. 81.1 CE, así como los arts. 9.3, 14, 66.2 y 134 CE. Mediante escrito de 30 de septiembre de 2014, sin pronunciarse sobre el fondo del asunto y atendiendo solo a los aspectos formales, el Ministerio Fiscal expresó la procedencia de plantear la cuestión. La representación procesal de la parte actora entendió que resultaba procedente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por el que acordó plantear cuestión de inconstitucionalidad respecto del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escolarizaran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proceso judicial.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de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del Tribunal Constitucional, a propuesta de la Sección Cuarta, acordó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día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normativa expresa al respecto. En su opinión, el artículo 17.8 no introduce una previsión sustantiva contraria o diferente al art. 84.3 LOE, aunque lo interprete de una manera distinta a la del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marzo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la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sobre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entendido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 núm. 6811-2014, promovida por la Sección Tercera de la Sala de lo Contencioso-Administrativo del Tribunal Superior de Justicia de Andalucía, con sede en Sevilla.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