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7562-2014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diciembre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de madres y padres del colegio Altair interpuso recurso contencioso-administrativo contra la Orden de 27 de febrero de 2013, de la Consejería de Educación de la Junta de Andalucía, por la que se resuelve la solicitud de renovación del concierto educativo con el centro docente privado “Altair”, de Sevilla,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 al escolarizar solo alumnos varones.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23 de septiembre de 2014, sin pronunciarse sobre el fondo del asunto y atendiendo solo a los aspectos formales, el Ministerio Fiscal expresó la procedencia de plantear la cuestión. El Letrado de la Junta de Andalucía, mediante escrito presentado el 7 de octubre de 2014, consideró que procedía el planteamiento de la cuestión, al estimar que el art. 17.8 de la Ley 17/2012, de 27 de diciembre, infringe el art. 81.1 CE, así como los arts. 9.3, 14, 66.2 y 134 CE. La asociación demandante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 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marzo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6 de marzo de 2015 presentó sus alegaciones el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