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6583-2014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Sindicatos Independientes de Enseñanza de Andalucía interpuso recurso contencioso-administrativo contra las Órdenes de 27 de febrero de 2013, de la Consejería de Educación de la Junta de Andalucía, por las que se resuelve la solicitud de renovación del concierto educativo con los centros docentes privados concertados que se citan a continuación, a partir del curso académico 2013-2014: “Ángela Guerrero” de Sevilla, “Nuestra Señora de Lourdes” de Carmona (Sevilla), “Ribamar”, de Sevilla, “Altair” de Sevilla, “Albaydar” de Sevilla, “Molino Azul” de Lora del Río (Sevilla), “Elcható” de Brenes (Sevilla), “Torrealba” de Almodóvar del Río (Córdoba), “Zalima” de Córdoba y “Yucatal” de Posadas (Córdoba). Dichas órdenes denegaban el concierto educativo para los referidos centros docentes por no cumplir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interpuesto ante la Sala de lo Contencioso-Administrativo del Tribunal Superior de Justicia de Andalucía, con sede en Sevilla, se basaba, entre otros motivos de ilegalidad y de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para votación y fallo el día 25 de junio de 2014, se dictó por la Sala providencia en esa misma fecha dando plazo común de diez días para alegaciones a las partes y al Ministerio Fiscal, conforme a lo dispuesto en los arts. 5.2 de la Ley Orgánica del Poder Judicial (LOPJ) y 35.2 de la Ley Orgánica del Tribunal Constitucional (LOTC), por considerar la Sala “que el artículo 17.8 de la Ley 17/2012, de 27 de diciembre, de presupuestos generales del Estado, de cuya validez depende el fallo, pudiera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otra nueva de 8 de septiembre de 2014, dando plazo común de diez días, conforme a lo dispuesto en los arts. 5.2 LOPJ y 35.2 LOTC, para que las partes y el Ministerio Fiscal alegasen sobre la inconstitucionalidad en que podría incurrir el art. 17.8 de la Ley 17/2012, de 27 de diciembre, de cuya validez depende el fallo, por vulneración de los arts. 81.1 y 134.2 CE. Considera la nueva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19 de septiembre de 2014, sin pronunciarse sobre el fondo del asunto y atendiendo solo a los aspectos formales, el Ministerio Fiscal expresó la procedencia de plantear la cuestión. El Letrado de la Junta de Andalucía, mediante escrito presentado el 7 de octubre de 2014, consideró que procedía el planteamiento de la cuestión, al estimar que el art. 17.8 de la Ley 17/2012, de 27 de diciembre, infringe el art. 81.1 CE, así como los arts. 9.2 y 3, 14, 66.2 y 134.2 CE. La parte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El estado de la cuestión, prosigue, ha cambiado con la Ley 17/2012, cuyo art. 17 relativo al “módulo económico de distribución de fondos públicos para sostenimiento de centros concertados” estableció, en su apartado 8,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enero de 2015, el Pleno del Tribunal Constitucional, a propuesta de la Sección Segunda, acuerda admitir a trámite la presente cuestión y, conforme a lo dispuesto en el art. 10.1 c) LOTC, deferir a la Sala Primera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Vicepresidenta Primera y Presidenta en funciones del Congreso de los Diputados, mediante escrito registrado el 30 de enero de 2015, comunicó a este Tribunal que la Mesa de la Cámara adoptó el acuerdo de personarse en el proceso, ofreciendo su colaboración a los efectos del art. 88.1 LOTC. Lo mismo hizo el Presidente del Senado por escrito que tuvo entrada en el registro de este Tribunal el 4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febrero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de la Ley Orgánica de educación; estos preceptos no tienen carácter orgánico, por lo que menos pueden tenerlo las previsiones dictadas en su desarrollo, que, tienen además un carácter temporal limitado al ejercicio 2013. El cuestionado art.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previsión expresa al respecto. En su opinión, el art. 17.8 no introduce una previsión sustantiva contraria o diferente al art. 84.3 LOE, aunque lo interprete de una manera diferente al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artículo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febrero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el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de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Ley Orgánica para la mejora de la calidad educativa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entendió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