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30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21 de octubre de 2014, la Procuradora de los Tribunales doña María Amparo Alonso León, en nombre y representación de doña R. C. M. Segura, interpuso recurso de amparo contra el Auto de fecha de 9 de enero de 2014, dictado por el Juzgado de Primera Instancia núm. 16 de Granada, que acordó no admitir a trámite el incidente de nulidad de actuaciones por ella promovido en el procedimiento de oposición de medidas de menores (autos núm. 1634-2013) y contra el Auto de la Sección Quinta de la Audiencia Provincial de Granada, de 3 de septiembre de 2014, recaído en recurso de apelación núm. 157-2014, solicitando como medida cautelar urgente la suspensión del procedimiento sobre oposición a la adopción seguido igualmente ante el Juzgado de Primera Instancia núm. 16 de Granada bajo los autos núm. 1153-2013 y señalado para el próximo día 27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Constitucional, en virtud de Auto, de fecha de 2 de noviembre de 2015, acordó “otorgar la suspensión cautelar del procedimiento de adopción incoado ante el Juzgado de Primera Instancia núm. 16 de Granada, con el núm. de autos 599-11, y del incidente de oposición a la adopción seguido bajo los autos núm. 1634-2013, sin perjuicio de las medidas que puedan adoptarse al respecto por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4 de noviembre de 2015, la Procuradora de los Tribunales doña María Amparo Alonso León, en nombre y representación de doña R. C. M. Segura, solicita la rectificación del número de autos relativo al incidente de oposición a la adopción, al observar en el fallo un mero error material. Se alega que en la parte dispositiva del referido Auto del Tribunal Constitucional, de 2 de noviembre de 2015, se indica como número de autos relativo al incidente de oposición a la adopción el 1634-2013, cuando éstos se corresponden con el incidente de nulidad de actuaciones respecto de la sentencia dictada en el procedimiento de acogimiento, siendo el número correcto de autos sobre el incidente de oposición a la adopción los 1153-2013.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en el plazo de dos días, a contar desde la notificación, las partes podrán solicitar la aclaración de la sentencia. Esta actuación judicial, de acuerdo con el art. 267.1 de la Ley Orgánica del Poder Judicial, deberá limitarse a “aclarar algún concepto oscuro y suplir cualquier omisión que contengan” sobre puntos discutidos en el litigio, siendo posible también rectificar los errores materiales manifiestos y los aritméticos allí contenidos, pero no podrá suponer, sin embargo, variación o modificación de la resolución judicial (entre otros, AATC 363/2007, de 11 de septiembre; 439/2006, de 11 de diciembre; 70/2008, de 26 de febrero; 32/2010, de 2 de marzo, y 134/2013, de 3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solicita la rectificación de un error material contenido en la parte dispositiva del Auto, de fecha de 2 de noviembre de 2015, en relación con el número de autos del incidente de oposición a la adopción seguido ante el Juzgado de Primera Instancia núm. 16 de Granada. Constando el error material advertido, procede la rectificación solicitada. Por ello, donde dice “autos núm. 1634-2013” en relación con el incidente de oposición a la adopción, debe decir “autos núm. 1153-2013”.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Rectificar el error material en cuanto al número de autos 1153-2013 relativo al incidente de oposición a la adopción seguido ante el Juzgado de Primera Instancia núm. 16 de Granada. Así, donde dice “autos 1634-2013” en relación con el incidente de oposición a la adopción, debe decir “autos 1153-2013”.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