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18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julio de 2015, acompañado del Auto de 14 de abril del mismo año, la Sección Segunda de la Sala de lo Contencioso-Administrativo del Tribunal Superior de Justicia de Canarias plantea cuestión de inconstitucionalidad. Se refiere a los apartados 1, 3 y 4 del art. 15 de la Ley canaria 6/2009, de 6 de mayo, de medidas urgentes en materia de ordenación territorial para la dinamización sectorial y la ordenación del turismo, en la redacción vigente en noviembre de 2012. Plantea la posible infracción de la garantía constitucional de la autonomía municipal (arts. 137 y 140 CE), en relación con el art. 25 y concordantes de la Ley 7/1985, de 2 de abril, de bases del régimen local (LBRL),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15 de la Ley canaria 6/2009, sobre “proyectos de sustitución, rehabilitación y reforma” —derogado por la Ley 2/2013, de 29 de mayo, de renovación y modernización turística de Canarias (disposición derogatoria única)—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planes o programas específicos de modernización, mejora e incremento de la competitividad del sector, aprobados por el Gobierno de Canarias, quedan sometidos al cumplimiento del trámite de cooperación administrativa previsto en el artículo 11 del Texto Refundido aprobado por el Decreto Legislativo 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actuaciones particulares relativas a proyectos de sustitución, de rehabilitación de la planta alojativa o de la infraestructura turística, o a los de remodelación urbanística incluidas en los planes y programas de modernización, mejora y competitividad del sector turístico a que se refiere el apartado anterior podrán ser exceptuadas por el ayuntamiento de la licencia municipal, quedando, en este caso, sometidos al régimen de comunicación previa 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promotor deberá comunicar al ayuntamiento el inicio de la actividad de ejecución del proyecto, con una antelación de 30 días, mediante escrito al que se acompañe una descripción suficiente de la actuación y las autorizaciones otorgadas. Dentro de ese período de 30 días, el ayuntamiento sólo podrá denegar el inicio de las actividades si la actuación proyectada no se ajusta al Plan de Modernización, Mejora y Competitividad aprobado por el Gobierno o a las autorizaciones otorgadas.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que los proyectos de sustitución, rehabilitación o mejora a que se refieren los apartados anteriores no se encuentren previstos en el planeamiento vigente, o sean contrarios a las determinaciones del mismo, el Plan o programa específico que les dé cobertura y que promueva y apruebe el Gobierno tendrá una tramitación abreviada y de fase única, en la que se dará cumplimiento a las exigencias de la evaluación ambiental estratégica, prevista en la Ley 9/2006, de 28 de abril, sobre evaluación de los efectos de determinados planes y programas en el medio ambiente, salvo que, por evidenciarse su limitada trascendencia territorial y ambiental, la Comisión de Ordenación del Territorio y Medio Ambiente de Canarias, a quien además le corresponde aprobar el informe previo a la aprobación por el Gobierno de dicho plan o programa, determine su exención en aplicación de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de que se determine la necesidad de llevar a cabo la evaluación ambiental estratégica del plan o programa, o la declaración de impacto ambiental de cualquiera de los proyectos previstos en la actuación planificada, será dicha comisión el órgano ambiental competente para la aprobación de la memoria ambiental, o la declaración de impacto ambiental,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documento de planeamiento abreviado será sometido a informe del ayuntamiento en cuyo término municipal se lleve a cabo la actuación y del cabildo insular correspondiente, y se expondrá al trámite de información pública, que, en el caso de precisarse su evaluación ambiental estratégica, contendrá el estudio de sostenibilidad, extendiéndose el plazo de información pública a cuarenta y cinco días naturales.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 o programa específico, una vez aprobado por el Gobierno, será incorporado a los instrumentos de ordenación territorial y de planeamiento urbanístico pertinentes como modificación de los mismos, en el ámbito afectado,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diciembre de 2011 el Ayuntamiento de San Bartolomé de Tirajana (Las Palmas) suscribe con Gesplan —entidad pública dependiente del Gobierno de Canarias— convenio relativo a la redacción del plan de modernización, mejora e incremento de la competitividad del ámbito turístico del sur de Gran Canaria. El epígrafe IV de su parte expositiva señala: “la empresa pública del Gobierno de Canarias, Gesplan, ha recibido la encomienda por parte de aquel mediante Orden número 169 de 16 de marzo de 2011, relativa a la redacción del Plan… instrumento amparado por la Ley 6/2009 y cuyo objeto fundamental será contribuir decididamente a la recualificación de este importantísimo destino turístico de Canarias”. El epígrafe VI afirma: “para el desarrollo de los trabajos de redacción y tramitación hasta su puesta en vigor mediante la correspondiente aprobación definitiva por el Gobierno de Canarias, será fundamental desarrollar un marco de estrecha colaboración con el Ayuntamiento de la Villa de San Bartolomé de Tirajana, a los efectos de aportar al equipo redactor la información y apoyos precisos para el buen fin de los trabajos”.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Decreto 90/2012, de 22 de noviembre, aprueba el plan de modernización, mejora e incremento de la competitividad del sector turístico de San Bartolomé de Tirajana “Maspalomas Costa Canaria”. Conforme a la exposición de motivos del Decreto, el plan: “se fundamenta en el artículo 15 de la Ley 6/2009, de 6 de mayo, de medidas urgentes en materia de ordenación territorial para la dinamización sectorial y la ordenación del turismo, precepto en el cual se introduce la figura de los planes y programas específicos de modernización, mejora e incremento de la competitividad del sector, como instrumentos aptos para dar cobertura a concretos proyectos de sustitución, de rehabilitación de la planta alojativa o de la infraestructura turística, o a los de remodelación urbanística”. La finalidad del plan es, según la exposición de motivos del Decreto, “un nuevo modelo de desarrollo turístico de las urbanizaciones de Maspalomas, Playa del Inglés y San Agustín basado en dos líneas de actuación; la rehabilitación de espacio público (calles y avenidas, paseo marítimo y plazas) y la renovación de los establecimientos turísticos y de sus complementarios (comerciales y recreativos) insertos en la trama del ámbito de actuación. El presente Plan incorpora 16 propuestas en el espacio privado y la oportunidad de diseñar diversas actuaciones en espacios públicos, distribuidas entre un Sistema Verde, un Sistema de Actividad y un Sistema Costero”.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Maspalomas Resort, S.L., interpone recurso contencioso-administrativo contra el Decreto 90/2012, de 22 de noviembre, por el que se aprueba el plan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providencia de 27 de febrero de 2015 de la Sección Segunda de la Sala de lo Contencioso-Administrativo del Tribunal Superior de Justicia de Canarias señala 3 de marzo de 2015 para la votación y fallo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providencia de 9 de marzo de 2015 del mismo órgano judicial suspende el plazo para dictar sentencia y concede a las partes y al Ministerio Fiscal plazo para alegar sobre la conveniencia de plantear cuestión de inconstitucionalidad respecto de los apartados 1, 3 y 4 del art. 15 de la Ley 6/2009 por posible contradicción con el principio de autonomía municipal (arts. 137 y 140 CE; art. 25 y concordantes LBRL). También señala la posible infracción de los arts. 9.3 y 14 CE habida cuenta de que el precepto obvia en los planes o programas que regula los principios de equidistribución de beneficios y cargas y el procedimiento de elaboración y revisión del planeamiento.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no se opone al planteamiento de la cuestión, precisando que no le corresponde entrar en el fondo del asunto, toda vez que ello estaría reservado al Fiscal General del Estado ex art. 37.2 de la Ley Orgánica del Tribunal Constitucional (LOTC). La entidad Maspalomas Resort, S.L., considera que las previsiones controvertidas son inconstitucionales, pero se opone al planteamiento por entender que el plan de modernización debería anularse en todo caso. El Gobierno de la Comunidad Autónoma de Canarias, el Cabildo insular de Gran Canaria y el Ayuntamiento de San Bartolomé de Tirajana se oponen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órgano judicial dicta Auto de 14 de abril de 2015 planteando la cuestión de inconstitucionalidad en relación con los apartados 1, 3 y 4 del art. 15 de la Ley canaria 6/2009, por posible infracción de la garantía constitucional de la autonomía municipal (arts. 137 y 140 CE), en relación con el art. 25 y concordantes de la Ley 7/1985, de abril, de bases del régimen local,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destaca que la tramitación, la aprobación y los contenidos del plan de modernización recurrido en el procedimiento judicial a quo se han sometido al art. 15 de la Ley 9/2009. Por tal razón, afirma, el artículo 15, sobre el que pesan las dudas de constitucionalidad, constituye el parámetro de control para resolver el recurso contencioso-administrativo. La Ley 2/2013 ha introducido un nuevo régimen para este tipo de planes a la vez que deroga el precepto cuestionado. Ahora bien, aclara, esta nueva regulación carece de aplicación retroactiva, no contiene norma alguna sobre transitoriedad y, en todo caso, es claro que en el proceso a quo habrá de aplicarse el artículo 15, pues es el manejado en la elaboración del plan impugnado. Destaca en este sentido que el proceso judicial no es un recurso directo contra reglamentos. No se está, por tanto, ante aquellos supuestos que ha aislado el Tribunal Constitucional en los que procede la inadmisión de la cuestión porque su enjuiciamiento no proyectaría resultados sobre el litigio (SSTC 147/2012, de 5 de julio, FJ 3). Señala también que es claro que la respuesta a las infracciones denunciadas por el recurrente —entre ellas, la relativa a la vulneración de la garantía constitucional de la autonomía local— exige el examen de la constitucionalidad del precepto cuestionado. Comoquiera que este ha dado cobertura a la elaboración del plan impugnado, no haría falta mayor argumentación para evidenciar que la Sentencia que lo declarase inconstitucional afectaría al resultado del proceso a quo. Insiste en que los planes de modernización no se identifican con (ni equivalen a) ninguno de los instrumentos de ordenación territorial y/o urbanística del ordenamiento canario. No puede afirmarse a priori que se trata de planes generales, parciales, especiales ni de programas de ejecución, aunque, paradójicamente, su contenido prevalezca sobre los planes generales de ordenación o territoriales. La Ley controvertida ha disciplinado estos planes al margen de toda la regulación estatal y canaria. Tal deficiencia se aprecia claramente si se compara la previsión cuestionada con la nueva regulación de la Ley 2/2013.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vulneración de la autonomía municipal, el Auto razona, citando doctrina constitucional, que la indisponibilidad de las competencias desautoriza cualquier alegato asentado sobre la idea de aquiescencia (STC 95/2014, de 12 de junio, FJ 3; SSTS de 5 de octubre y 30 de diciembre de 2005). Entrando en el fondo, considera que el precepto propicia la modificación del planteamiento elaborado y aprobado por el ayuntamiento por la sola voluntad de una instancia territorial distinta: el Gobierno de Canarias. Ello, además, afectando a toda clase de suelos, sin límite respecto de las posibles operaciones de revisión que afectan a la categorización, sistemas generales o previsiones de ejecución. A este respecto, el Auto insiste en que los nuevos planes de modernización han sido configurados al margen de los múltiples instrumentos de ordenación territorial y urbanística, ajeno a la ordenación jerárquica y sin sometimiento a las demás normas canarias. Ni siquiera se regula si puede operar sobre determinada clase de suelo, clasificar o desclasificar, modificar sistemas generales, etc. Sin embargo, de acuerdo con su memoria, el plan impugnado contempla intervenciones de toda naturaleza: establece las condiciones particulares de la edificación y prevé intervenciones en espacio público (principalmente calles, espacios libres y áreas de oportunidad) dirigidas a reinterpretar y reorientar su función. Incluye también intervenciones en espacio privado, en particular, de sustitución, renovación, rehabilitación o reforma en espacios establecimientos de alojamiento y espacios comerciales así como de implantación de dos equipamientos de ocio en suelo rústico. Esta descripción sería suficiente para descartar que las actuaciones se refieran exclusivamente a suelo urbano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vulneración de la autonomía municipal, se afirma que los nuevos planes de modernización pueden afectar exclusivamente a parte del territorio de un municipio —como ocurre en el que es objeto del recurso—, modificando el plan general y afectando a intereses cuya gestión corresponde al ayuntamiento. Sin embargo, la participación local ha quedado limitada a un informe no vinculante con idéntico alcance que los informes de otras Administraciones o el resultado de la información pública. El Auto insiste en que la iniciativa para la aprobación del plan impugnado en modo alguno correspondió en el caso al ayuntamiento. No debe confundirse la iniciativa para la formulación y tramitación del plan, que conforme a la regulación cuestionada corresponde al Gobierno canario (sin que estuviera prevista entonces la exigencia de conformidad de los ayuntamientos que prevé ahora la Ley 2/2013) con el convenio suscrito para la redacción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intereses supramunicipales, la invocación general del turismo como sector estratégico —que ni siquiera están en la Ley cuestionada— no sería suficiente para desapoderar a los ayuntamientos en una profusión de ámbitos (alojativo, restauración, equipamientos y actividades deportivas y culturales, medio-ambiente). La mera incidencia económica o en la creación de empleo justifica un interés social, pero no es determinante por sí del interés supramunicipal, de otro modo cualquier proyecto o plan podría ser reclamado para sí por la Comunidad Autónoma o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demás posibles vulneraciones, el Auto razona que los planes de modernización, al no someterse a regulación legal alguna, no están sujetos a principios rectores de la planificación y ejecución que recoge la legislación urbanística, tanto la básica estatal como la canaria. La equidistribución de beneficios y cargas es uno de tales principios. Como los planes de modernización no están sometidos a él, “no podríamos enjuiciar su contenido caso de que se invoque —como así se hace en los recursos en que hablamos—”. No puede alegarse de contrario que los planes afectan exclusivamente a suelos urbanos consolidados —donde la aplicación de tal principio puede tener mayor modulación—, por cuanto que “las actuaciones de tales planes pueden afectar, y de hecho lo hace el que es objeto de recurso, a otra clase de suelo o incluso de equipamientos, sistema general viario, de ocio,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Auto, algo similar puede decirse de la ausencia de la regulación que prohíbe las denominadas “reservas de dispensación” que son una aplicación del principio de inderogabilidad singular de los reglamentos recogidas desde el art. 57.3 del texto refundido de la Ley del suelo de 1973 hasta el art. 44.1 del texto refundido de las Leyes de ordenación de Canarias, y que igualmente tienen anclaje constitucional al suponer discriminación ex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afirma, en fin, que las previsiones cuestionadas vulneran también la prohibición de arbitrariedad (art. 9.3 CE) porque no regulan el contenido y los límites de los planes de modernización, lo que permitiría la modificación de cualquiera de los extremos incluidos en los planes de ordenación territorial o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cuenta con voto particular suscrito por una de las Magistradas que componen la Sala. Razona que, por mucho que se quiera apurar el criterio de interpretación flexible de la Ley Orgánica del Tribunal Constitucional, el Auto no alcanza a formular el juicio de relevancia porque no específica en qué medida la decisión del proceso depende de la validez de la norma cuya inconstitucionalidad se cuestiona. Considera que el Ayuntamiento de San Bartolomé de Tirajana tiene la iniciativa de colaboración a través de la entidad Gesplan para llevar a cabo la modernización del sector turístico, habiendo firmando al efecto el correspondiente convenio. Tal ayuntamiento es quien solicitó la intervención de la Administración autonómica, existiendo una activa participación local, tal como resulta del epígrafe IV de la parte expositiva del señalado convenio. El artículo 15.1 cuestionado prevé la intervención local a través del mecanismo de cooperación previsto en el art. 11 del Decreto Legislativo 1/2000. Sostiene que los motivos de la demanda plantean cuestiones de legalidad ordinaria que pueden resolverse sin planteamiento de la cuestión. Lo mismo cabría afirmar respecto de la supuesta inconstitucionalidad del artículo 15, apartados 1, 3 y 4, por obviar en los planes regulados los principios de equidistribución y procedimiento de elaboración y revisión del planeamiento. Los planes que se desarrollen recaen sobre suelos turísticos maduros o plenamente consolidados. Corresponderá a la jurisdicción ordinaria determinar si tales principios resultan vulnerados con relación a los supuestos específicos de ejecución de los distintos planes. En el presente caso, nadie cuestiona que el quiosco de Meloneras, el edificio de aparcamientos y Ocean Park están ubicados en suelo urbano consolidado. Por ello en nada afectaría al resultado del procedimiento declarar inconstitucional el art. 15 de la citada Ley. Se afirma, finalmente, que el Ayuntamiento de San Bartolomé de Tirajana, que es el más interesado “en estas lides”, no considera que haya sufrido la vulneración de su autonomía, por lo que también por ello no procedía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septiembre de 2015, a los efectos del art. 37.1 LOTC, la Sección Segunda de este Tribunal confiere plazo de diez días al Fiscal General del Estado para que alegue lo que considere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evacua el trámite conferido mediante escrito registrado en este Tribunal el 13 de octubre de 2015. Interesa la inadmisión de la presente cuestión tanto por incumplimiento de los presupuestos procesales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denuncia defectos en la providencia por la que se confirió audiencia en el proceso judicial a quo a las partes y al Ministerio Fiscal para que alegasen sobre la conveniencia de plantear la cuestión de inconstitucionalidad (art. 35.2 LOTC). El órgano judicial habría hecho referencia a la infracción de los arts. 9.3 y 14 CE sólo en el Auto de planteamiento, sin haberla recogido adecuadamente en la providencia inicial de audiencia; por tanto, las partes en el proceso judicial a quo no han podido alegar sobre ella, frustrándose así la finalidad del trámite previsto en el art. 35.2 LOTC. Ciertamente, afirma la Fiscal, la providencia inicial de audiencia relaciona los arts. 9.3 y 14 CE entre los preceptos posiblemente vulnerados. Sin embargo, sólo después, en el Auto de planteamiento, el órgano judicial ha aludido al concreto principio, de entre los que enuncia el art. 9.3 CE, que entiende infringido. A su vez, la providencia de audiencia conecta la infracción del art. 14 CE con el principio de equidistribución de cargas y beneficios, pero el Auto de planteamiento la extiende al régimen de “reserva de dispensación”. Como consecuencia de ello, los informes presentados, aunque aluden genéricamente a los arts. 9.3 y 14 CE, carecen de toda referencia a la interdicción de la arbitrariedad y a las reservas de dispensación.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habría de inadmitirse la cuestión por incumplimiento del juicio de relevancia. El Auto de planteamiento se habría limitado a afirmar que el recurso contencioso-administrativo denuncia la vulneración de la garantía constitucional de la autonomía municipal (arts. 137 y 140 CE) y la infracción de una serie de principios recogidos en otras leyes estatales y autonómicas. Habría añadido únicamente que la primera impugnación sólo puede resolverse despejando previamente si la previsión cuestionada vulnera la garantía constitucional de la autonomía municipal. Respecto de lo demás, el órgano judicial se habría limitado a señalar que el precepto cuestionado, al excluir la aplicación de la legislación autonómica y estatal, conduce “a la posibilidad de que se violen determinados principios de contenido constitucional que dichas normas consagran”. Según la Fiscal, de esta manera se desplaza al Tribunal Constitucional la impugnación que plantea el recurrente, que el órgano judicial parece asumir, pero sin relacionarla con la relevancia que ha de tener la presente cuestión para decidir el proceso. Respecto de las infracciones normativas denunciadas por el demandante, el Auto sólo aludiría a “una genérica contradicción con los principios constitucionales y con la posibilidad de que se vulneren en su aplicación determinados principios constitucionales”. Se estaría trasformando la resolución de las cuestiones planteadas en el pleito, cuya resolución corresponde a la jurisdicción ordinaria, en un enjuiciamiento genérico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sería, además, notoriamente infundada, según la Fiscal General del Estado. El art. 15 de la Ley 6/2009 no vulneraría la garantía constitucional de la autonomía municipal (arts. 137 y 140 CE) por tres razones. En primer lugar, la Comunidad Autónoma de Canarias tiene atribuida la competencia sobre la ordenación territorial; su ejercicio puede incidir sobre la regulación municipal de acuerdo con los arts. 2 y 25 LBRL, tal como ha declarado el Tribunal Constitucional [SSTC 61/1997, de 20 de marzo, FJ 25 b); 240/2006, de 20 de julio, FJ 10; ATC 251/2009, de 13 de octubre, FJ 3]. En segundo lugar, la regulación controvertida concierne intereses supramunicipales (la sostenibilidad ambiental y el turismo, principal motor de la economía de las Islas Canarias), tal como resulta de la exposición de motivos de la Ley 6/2009. En tercer lugar, el art. 15 de la Ley indicada no elimina la intervención municipal (cita AATC 251/2009, de 13 de octubre, y 9/2013, de 15 de enero); corresponde al ayuntamiento la emisión del informe sobre el documento de planeamiento abreviado (apartado 3), la participación en un trámite de cooperación administrativa (apartado 1) y la denegación del inicio de las actividades que no se ajusten al plan de modernización (apartado 2). El art. 15 de la Ley 6/2009, a diferencia del actualmente aplicable (art. 8 de la Ley 2/2013), no atribuye expresamente la iniciativa al ayuntamiento. No obstante, en el presente caso, el plan impugnado se ha aprobado con la participación del ayuntamiento a través de un convenio con la entidad Gesplan. El Auto de planteamiento se ha referido a ello, pero sólo bajo una perspectiva general y abstracta de indisponibilidad de la autonomía municipal, sin ponderar la participación municipal efectivamente acontecida en este caso, que ha ido más allá del informe legalmente previsto (cita el ATC 251/2009, de 13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sería también notoriamente infundada en lo que afecta al resto de las posibles vulneraciones. Los principios a los que alude el Auto de planteamiento no aparecen en el artículo 15 cuestionado, pero no por ello dejan de operar a través del texto refundido de la Ley del suelo aprobado por Real Decreto Legislativo 2/2008, de 20 de junio (arts. 8.3 y 9.7), y el texto refundido de las Leyes de ordenación del territorio de Canarias y de espacios naturales de Canarias, aprobado por Decreto Legislativo 1/2000, de 8 de mayo (arts. 71 y 72). La norma cuestionada no podría derogar la legislación estatal y autonómica ni aplicarse de forma aislada y prevalente, como parece entender el órgano judicial. Ciertamente, la selección de la norma es una función genuinamente judicial, pero la interpretación del Auto de planteamiento supone una suerte de exclusión normativa contraria al régimen de distribución competencial articulada sin el procedimiento debido: cuestión de inconstitucionalidad. Frente a lo razonado en el Auto de planteamiento, la Fiscal entiende que procede una aplicación integradora conforme a la que el Decreto 90/2012 debería examinarse en el proceso judicial a quo a la luz del conjunto de la normativa estatal y autonómica y, por tanto, sin que de la sola dicción del artículo 15 cuestionado se derive la vulneración del art. 14 CE. A su vez, el Auto de planteamiento razona la vulneración de los arts. 14 y 9.3 CE como una consecuencia posible de que el artículo 15 no haya explicitado aquellos principios. Ello comporta un juicio abstracto y potencial de constitucionalidad que se articula al margen del verdadero objeto del procedimiento judicial, que es la impugnación de aspectos concretos del plan aprobado por el Decreto 90/2012. La Fiscal añade, sin entrar a cuestiones de legalidad ordinaria, que las actuaciones previstas se proyectan sobre suelo consolidado, lo que determina una mayor flexibilidad en la aplicación de los principios teóricamente vulnerados (con cita de la STC 94/2014, de 12 de junio, FFJJ 3 y 4). Destaca, en fin, que el Auto no ha ofrecido una argumentación suficiente, respecto de la proscrita interdicción de la arbitrariedad (art. 9.3 CE), con capacidad para desvirtuar la presunción de constitucionalidad de la previsión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Superior de Justicia de Canarias plantea la presente cuestión respecto de los apartados 1, 3 y 4 del art. 15 de la Ley canaria 6/2009, de 6 de mayo, de medidas urgentes en materia de ordenación territorial para la dinamización sectorial y la ordenación del turismo (en la redacción vigente en noviembre de 2012), por posible infracción de la garantía constitucional de la autonomía municipal (arts. 137 y 140 CE), en relación con el art. 25 y concordantes de la Ley 7/1985, de abril, de bases del régimen local (LBRL),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previa audiencia al Fiscal General del Estado, rechazar a limine las cuestiones de inconstitucionalidad que incumplan las condiciones procesales o sean notoriamente infundadas. Según consta en los antecedentes, en el presente asunto se ha oído a la Fiscal General del Estado, quien considera inadmisible la presente cuestión por razones de ambos tipos. Abordaremos primero los defectos de orden procesal en que ha podido incurrir el Auto de planteamiento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Fiscal General del Estado denuncia defectos en la providencia por la que el Tribunal Superior de Justicia de Canarias confirió audiencia al Ministerio Fiscal y a las partes del proceso judicial a quo para que alegasen sobre la conveniencia de plantear la cuestión de inconstitucionalidad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corresponde apreciar que la providencia de audiencia en el procedimiento judicial a quo cita explícitamente los preceptos que después se cuestionan (apartados 1, 3 y 4 del art. 15 de la Ley 6/2009) y se refiere específicamente a los motivos por los que podrían ser inconstitucionales (vulneración de principio autonomía municipal y, vinculada a la ausencia de un régimen de equidistribución, infracción de los principios de arbitrariedad e igualdad). Es verdad que, tal como destaca la Fiscal General del Estado, al mencionar el art. 9.3 CE, la providencia de audiencia no concreta el principio jurídico, de entre los múltiples que enuncia este precepto, que resultaría vulnerado en el caso; sólo después el Auto de planteamiento ha señalado específicamente que la duda de constitucionalidad se refiere a la arbitrariedad en que ha podido incurrir el art. 15 de la Ley 6/2009. No obstante, la indicada providencia, al explicar la razón por la que el artículo 15 podría vulnerar el art. 9.3 CE (por obviar en los planes regulados la obligación de que se respeten los principios de equidistribución de beneficios y cargas y el procedimiento de elaboración y revisión del planeamiento), acota suficientemente el problema constitucional planteado. La relativa indeterminación denunciada no ha frustrado en este punto la finalidad del trámite de audiencia previsto en el art. 25.2 LOTC, que es el criterio fundamental para resolver si este tipo de irregularidades formales debe conducir a la inadmisión de las cuestiones de inconstitucionalidad (por todas, STC 222/2012,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esa providencia de audiencia no aparece referencia alguna a la posible vulneración del art. 14 CE vinculada a la interpretación de que el precepto cuestionado, al disciplinar el denominado plan de modernización al margen de toda la regulación urbanística general, impediría la aplicación del régimen de “reservas de dispensación”. La indicada vulneración se produciría, no por lo establecido en el art. 15 de la Ley 6/2009, sino por lo que deja de establecer y ello sobre la base de la interpretación de que el legislador autonómico ha querido regular aquellos planes de modernización como un compartimento estanco, por completo aislado del resto del ordenamiento jurídico. El órgano judicial, al sugerir por vez primera en el Auto de planteamiento que esa omisión podría vulnerar el art. 14 CE, ha privado a las partes y al Ministerio Fiscal de la oportunidad de alegar al respecto en el trámite de audiencia previa, tal como ha denunciado la Fiscal General del Estado. Consecuentemente, la cuestión de inconstitucionalidad resulta inadmisible en este específico punto, por defectos en el trámite de audiencia en el procedimiento judicial a quo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Según la Fiscal General del Estado, la cuestión habría de inadmitirse en todo lo demás por incumplimiento del juicio de relevancia (apartados 1 y 2 del art. 35 LOTC). El Auto de planteamiento habría aludido sólo a una genérica contradicción del art. 15 (apartados 1, 3 y 4) de la Ley 6/2009 con los arts. 137, 140, 9.3 y 14 CE. Estaría transformando la resolución de las cuestiones concretas de legalidad ordinaria que plantea el recurso contencioso-administrativo, dirigido contra el plan de modernización aprobado por el Decreto 90/2012, en un enjuiciamiento abstracto sobre la constitucionalidad de la Ley que proporciona cobertura al indicado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ha razonado que el art. 15 de la Ley 6/2009 es aplicable en el procedimiento judicial y que de su constitucionalidad depende el fallo. Destaca que la tramitación, la aprobación y los contenidos del plan que debe enjuiciar se han sometido a ese precepto legal. Por tal razón el artículo 15, sobre el que pesan las dudas de constitucionalidad, constituye el parámetro de control para resolver el recurso contencioso-administrativo (se razona ampliamente que no resulta aplicable la nueva regulación de la Ley 2/2013). Por eso no haría falta mayor argumentación para explicar que la Sentencia que lo declarase inconstitucional afectaría al resultado del proceso a quo. Sugiere así que tal declaración conduciría a la anulación del señalado plan de modernización. Insiste en que, según el recurrente, el artículo 15 vulnera la Constitución y, en particular, la autonomía local y que tales vicios se han transmitido al plan aprobado a su amparo. El órgano judicial argumenta igualmente que la circunstancia de que el Ayuntamiento de San Bartolomé de Tirajana entienda respetada su autonomía municipal no impide considerar que la previsión cuestionada sea contraria a los arts. 137 y 140 CE. Da a entender que, si el Tribunal Constitucional declarase por ello su nulidad, el Tribunal Superior de Justicia de Canarias podría declarar la del acto de aplicación, esto es, la del plan de modernización aprobado por el Decreto 90/2012. El Tribunal Superior de Justicia de Canarias ha razonado igualmente que, a su modo de ver, la regulación autonómica de los planes de referencia es cerrada e impermeable al principio de equidistribución que recoge la legislación básica estatal. Por tal razón el plan de modernización sometido a su enjuiciamiento, pese a incluir actuaciones sobre todo tipo de suelos, no habría podido realizar la oportuna equidistribución de beneficios y cargas. El precepto cuestionado vulneraría por ello los arts.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argumentos son suficientes para entender satisfecho el juicio de relevancia, teniendo en cuenta que corresponde a este Tribunal sólo el control externo de las razones ofrecidas por el órgano judicial para sostener que el resultado del proceso a quo depende de la validez de la normativa cuestionada. No cabe sustituir, rectificar o integrar su criterio, salvo que la aplicación de principios jurídicos básicos revele que la argumentación judicial carece notoriamente de consistencia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las consideraciones de fondo del Auto de planteamiento fueran correctas (la pretendida ausencia de intereses supramunicipales y la fuerte presencia de intereses municipales), el Tribunal Constitucional podría llegar a entender que la Ley debió asegurar una intervención municipal mayor (p. ej., que la tramitación y la aprobación debió corresponder al propio ayuntamiento). Ello condicionaría objetivamente el resultado del proceso a quo porque, tal como sugiere el Auto de planteamiento, el órgano judicial podría basarse en la anulación del precepto cuestionado que acordase este Tribunal para anular el específico acto de aplicación sometido a su enjuiciamiento. De la misma manera, una sentencia constitucional que acogiera los demás razonamientos de fondo del Tribunal Superior de Justicia de Canarias —que el precepto cuestionado, al establecer una regulación sectorial por completo aislada de la legislación general, contradice los arts. 14 y 9.3 CE— sería evidentemente relevante en el procedimiento judicial a quo. Según razona el órgano judicial, también ello podría conducir a la anulación del plan elaborado al amparo de la previsión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significa que las consideraciones de la Fiscal General del Estado son relevantes. Serán pertinentes para valorar si las dudas de constitucionalidad planteadas son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concepto de cuestión notoriamente infundada encierra un cierto grado de indefinición que se traduce procesalmente en un margen de apreciación del Tribunal Constitucional a la hora de controlar su solidez. Hay supuestos en los que un examen preliminar permite apreciar la falta de viabilidad de la cuestión suscitada. Resulta conveniente en tales casos resolver la cuestión en esta primera fase procesal, máxime si la admisión pudiera provocar efectos no deseables, como la paralización de múltiples procesos en los que resulte aplicable la norma cuestionada; esto no significa, necesariamente, que carezca de forma total y absoluta de fundamentación o que ésta sea arbitraria (por todos, ATC 133/2014, de 6 de mayo, FJ 2). En consecuencia, corresponde abordar separadamente las dudas de constitucionalidad suscitadas, por si fueran notoriamente infundadas en el sentido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15 de la Ley canaria 6/2009 regula un tipo específico de plan (o programa) destinado a la modernización, mejora e incremento de la competitividad del sector turístico. Puede incluir “proyectos de sustitución, de rehabilitación de la planta alojativa o de la infraestructura turística, o a los de remodelación urbanística” imprevistos en (o contrarios a) el planeamiento vigente (apartado 3). Tras su aprobación, que corresponde al Gobierno de Canarias (apartado 1), al plan debe incorporarse “a los instrumentos de ordenación territorial y de planeamiento urbanístico pertinentes como modificación de los mismos, en el ámbito afectado, en su caso” (apartado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no discute que la Comunidad Autónoma de Canarias tenga atribuidas competencias en materia de ordenación del territorio y urbanismo (art. 30.15 del Estatuto de Autonomía de Canarias) ni que la previsión cuestionada sea una concreta expresión de su ejercicio. Lo planteado es si la Comunidad Autónoma, al ejercer esas competencias estatutarias a través del art. 15 de la Ley 6/2009, ha podido vulnerar la garantía constitucional de la autonomía municipal (arts. 137 y 140 CE) por reducir la intervención de los ayuntamientos a un mero informe en un ámbito de fuerte interés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valorar si hay vulneración de la garantía constitucional de la autonomía municipal corresponde determinar: a) si hay intereses supralocales que justifiquen que la Comunidad Autónoma haya centralizado en su Administración la competencia para elaborar y aprobar estos planes; b) si el legislador autonómico ha ponderado los intereses municipales afectados; y c) si ha asegurado a los ayuntamientos implicados un nivel de intervención tendencialmente correlativo a la intensidad de tales intereses; todo ello sobre la base de que la Comunidad Autónoma puede ejercer en uno u otro sentido su libertad de configuración a la hora de distribuir funciones, pero garantizando el derecho de la comunidad local a participar a través de órganos propios en el gobierno y administración [STC 154/2015, de 9 de julio, FJ 5 a) y las que allí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sector turístico encierra intereses públicos que trascienden el ámbito municipal. El turismo constituye la principal industria de las Islas Canarias. Ello expresa los relevantes intereses supralocales implicados en esta actividad: el plan nacional e integral de turismo 2012-2015 (que pretende impulsar la competitividad de las empresas), el plan estratégico promocional del turismo en Canarias 2012-2016 (que pretende estructurar el modelo de desarrollo del turismo canario durante el periodo de referencia, orientando decisiones y conciliando los intereses de los distintos agentes) y el propio Estatuto de Autonomía de Canarias. Este atribuye a la Comunidad Autónoma competencias sobre turismo y otras materias vinculadas, como patrimonio (histórico, artístico, monumental, arquitectónico y arqueológico), cultura, deporte, espectáculos, ocio y esparcimiento (apartados 9, 20 y 21 del artículo 30). La Ley controvertida, al regular los denominados planes de modernización, responde directamente a estos intereses supramunicipales. Su exposición de motivos destaca en este sentido la necesidad de “abordar el marco en el que el turismo, principal actividad económica del archipiélago, deba desarrollarse en los próximos años, garantizando la sostenibilidad de su ocupación territorial”. Constata también “que el proceso de renovación de la planta alojativa que debe constituir el eje fundamental de la cualificación de la oferta turística canaria, junto con el equipamiento complementario ambiental territorialmente sostenible, no ha alcanzado suficiente impulso”.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igualmente evidente que los planes de modernización que regula el precepto cuestionado conciernen muy directamente a intereses municipales. El urbanismo es un ámbito de interés municipal preferente, tal como reflejan el art. 25.2 LBRL, la legislación canaria (art. 11 de la Ley 7/2015, de 1 de abril, de los municipios de Canarias) y el propio planeamiento municipal (singularmente, en este caso, el plan general de ordenación de San Bartolomé de Tirajana). De ello se ha hecho eco este Tribunal en múltiples ocasiones: “no es necesario argumentar particularmente que, entre los asuntos de interés de los Municipios y a los que por tanto se extienden sus competencias, está el urbanismo” [SSTC 40/1998, de 19 de febrero, FJ 39; 159/2001, de 5 de julio, FJ 4; 204/2002, de 31 de octubre, FJ 13; 104/2013, de 25 de abril, FJ 6; y 154/2015,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precepto cuestionado, resulta claro que el legislador canario no ha desatendido los intereses municipales. El “documento de planteamiento abreviado” que conlleva proyectos de sustitución, rehabilitación o mejora imprevistos en (o contrarios a) el planeamiento vigente “será sometido a informe del ayuntamiento en cuyo término municipal se lleve a cabo la actuación y del cabildo insular correspondiente” (artículo 15.3). A su vez, a través de la remisión al art. 11 del texto refundido aprobado por el Decreto Legislativo 1/2000, el art. 15.1 de la Ley controvertida, prevé que “en todo caso” el Gobierno canario “consultará a los ayuntamientos en cuyos términos municipales pretenda llevarse a cabo la actuación”, proporcionándoles “efectivamente”: “la posibilidad de exponer y hacer valer de manera suficiente y motivada las exigencias que, en orden al contenido de la actuación en curso de aprobación, resulten de los intereses públicos cuya gestión les esté encomendada”, brindando así “la ocasión de alcanzar un acuerdo sobre el contenido del mismo”. Si las “discrepancias manifestadas” no se superasen de este modo, la Administración autonómica habrá de emitir una “resolución justificativa de los motivos que han impedido alcanzar, a su juicio, una definición acordada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atribuir al Gobierno canario la competencia para aprobar los planes de modernización, el precepto cuestionado se ha apoyado en la efectiva concurrencia de intereses supralocales sin descuidar los municipales. La cuestión queda de este modo ceñida a determinar si hay suficiente correlación entre la intensidad de los intereses municipales y la de la intervención local legalmente prevista. Esta ha de canalizarse no sólo en informes, sino también en la efectiva apertura de un diálogo que, si no concluye en un acuerdo de todas las Administraciones implicadas, obligue a la Comunidad Autónoma a explicar cumplidamente por qué ha sido imposible esta definición consensuada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el Ayuntamiento de San Bartolomé de Tirajana ha promovido la iniciativa de elaboración y tramitación del plan mediante la suscripción de un convenio con una entidad pública dependiente del Gobierno canario. A la vista de la parte expositiva del indicado convenio, de la memoria del plan y de las alegaciones del ayuntamiento en el proceso a quo, cabe afirmar que este ha participado activamente en la elaboración del instrumento y que el Gobierno canario ha tomado su criterio en consideración. Esta observación es relevante en cuanto expresión de que el art. 15 de la Ley 6/2009 facilita una efectiva ponderación de los intereses municipales involucrados. La determinación concreta de si el plan de modernización aprobado por el Decreto 90/2012 ha asignado el peso que corresponde a aquellos intereses desborda el enjuiciamiento que incumbe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le concierne es nada más que la valoración de si el precepto cuestionado vulnera en abstracto la garantía constitucional de la autonomía municipal; sin perjuicio de que, cuando de planeamiento urbanístico se trata, los arts. 137 y 140 CE obligan directamente a las Administraciones autonómicas actuantes a realizar una ponderación suficiente de los intereses municipales. Su ausencia puede viciar los planes, pero no la norma legal que habilitó su tramitación. Así lo ha declarado este Tribunal: “Es evidente que la relevancia de esa participación dependerá en la práctica de que en el procedimiento de aprobación de la modificación del planeamiento el órgano competente para la aprobación definitiva atribuya, en el juicio de ponderación en que esencialmente consiste la decisión sobre el planeamiento, a los intereses hechos valer en el trámite de audiencia por las entidades locales, el peso y la importancia que han de corresponder a dichos intereses. Pero el control judicial de esa efectividad y relevancia de la intervención de las entidades locales no puede realizarse, como es lógico, en este juicio abstracto de constitucionalidad de la norma cuestionada, sino por la vía de la concreta impugnación ante los órganos judiciales competentes de la decisión sobre el planeamiento urbanístico que se adopte” (STC 51/2004, de 13 de abril,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154/2015, FJ 6 e) ha reafirmado esta doctrina al enjuiciar un precepto que centraliza también determinadas facultades de planificación. Permite a la Consejería competente establecerse como Administración actuante para la formulación, tramitación y aprobación de instrumentos de planeamiento en las delimitaciones de reserva de terrenos para el patrimonio autonómico de suelo): “el precepto impugnado no es contrario a la garantía constitucional de la autonomía municipal (arts. 137 y 140 CE), sin perjuicio de que la jurisdicción contencioso-administrativa podrá controlar las eventuales extralimitaciones en que incurra la Administración autonómica al ejercer las competencias urbanísticas atribuidas y, en particular, la concurrencia de intereses supralocales legitimantes, la efectiva apertura de canales de participación local durante todas las fases del planeamiento así como la asignación a la intervención local del peso correspondiente a los intereses municipales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corresponde apreciar que el art. 15 de la Ley 6/2009 es conforme a la garantía constitucional de la autonomía local, habida cuenta de que prevé una serie de mecanismos que permiten en abstracto que la Administración autonómica confeccione los planes de modernización, asignando a los intereses municipales un peso tendencialmente correspondiente a su relevancia. La potestad de planeamiento es “fuertemente discrecional” y “encierra una infinidad de decisiones que atañen al municipio exclusiva o prevalentemente” [STC 154/2015, FJ 6 c)]. Ello no impide que la justicia ordinaria pueda resolver que los concretos planes de modernización aprobados a su amparo no se ajustan a la indicada garantía constitucional, si no hubieran tenido suficientemente en cuenta las valoraciones de oportunidad en cuestiones de relevancia prevalente o exclusivamente municipal manifestadas por los Ayuntamientos concernidos.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hay que estar de acuerdo con la Fiscal General del Estado cuando afirma que el órgano judicial ha transformado cuestiones concretas que pertenecen a la justicia ordinaria (relativas a la legalidad de un específico plan) en cuestiones abstractas propias de la justicia constitucional (sobre la constitucionalidad de la Ley que proporcionó cobertura a ese plan). En resumen: el precepto cuestionado no plantea un problema de garantía constitucional de la autonomía municipal. Si lo hace el Decreto 90/2012 aprobado a su amparo y, en particular, si el Gobierno autonómico ha ponderado suficientemente el criterio del Ayuntamiento de San Bartolomé de Tirajana en cuanto exponente de los intereses de la comunidad local, habrá de establecerlo el Tribunal Superior de Justicia de Canarias en el procedimiento judicial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considera que las previsiones cuestionadas han podido vulnerar el art. 14 CE, al interpretar que no permiten aplicar el principio general de equidistribución de cargas y beneficios. A este respecto, conviene destacar que la elaboración del plan controvertido en el proceso a quo no se ha ajustado a dicha interpretación. El plan se ha confeccionado al amparo del precepto cuestionado, pero teniendo en cuenta también como “legislación de aplicación” (pp. 9-10 de la memoria justificativa) la normativa urbanística general, tanto la básica estatal (texto refundido de la Ley del suelo aprobado por Real Decreto Legislativo 2/2008, de 20 de junio) como la autonómica de desarrollo (texto refundido de las Leyes de ordenación del territorio de Canarias y de espacios naturales de Canarias aprobado por el Decreto Legislativo 1/2000, de 8 de mayo y el Reglamento de gestión y ejecución del sistema de planeamiento de Canarias aprobado por el Decreto 183/2004, de 21 de diciembre). La memoria justificativa cita constantemente las bases estatales, considerándolas de “obligado cumplimiento” (p. 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tipo de actuaciones programadas, no parece que el plan impugnado plantee problemas de equidistribución de beneficios y cargas. Regula actuaciones destinadas a revitalizar el sector turístico en las zonas por él delimitadas, que son de dos tipos: públicas y privadas. Las primeras se limitan a la intervención sobre el viario, zonas verdes y espacios libres para dotarlas de equipamientos públicos o convertirlas en sede de determinadas actividades atractivas de un turismo de calidad; todo ello no plantea problema alguno de equidistribución. Respecto de las privadas, el plan distingue dos modalidades de actuación. Unas se corresponden con actuaciones en suelo rústico que permiten acoger proyectos ya determinados. Los proyectos en suelo rústico residual no cambian la clasificación del suelo, ni implican aprovechamiento urbanístico; se trata sólo de la realización de usos en suelo no urbanizable que exigen la aprobación de un proyecto como lo exigen las huertas solares o la construcción de un almacén de recogida de los productos de la cosecha. Esto tampoco tiene que ver con la equidistribución de los beneficios y cargas derivados de la ejecución del planeamiento porque se trata de un proyecto pero no de un plan. La otra forma de intervención en ámbito privado se corresponde con una serie de actuaciones en suelo urbano que son exclusivamente de dotación. Consisten en el reconocimiento de plazas adicionales, incremento de edificabilidad y cambio de usos para favorecer la creación de establecimientos comerciales. Ninguna de las dieciséis actuaciones previstas requiere renovación integral de la urbanización. Se incluyen dentro, no de las denominadas “actuaciones de transformación urbanística”, sino de las operaciones de dotación a cuyos deberes (art. 16 del texto refundido de la Ley de suelo) se refiere específicamente la memoria (p. 167). Las actuaciones de dotación no conllevan el derecho y deber de ejecutar la urbanización en régimen de equidistribución de beneficios y cargas porque no suponen una urbanización integral; está ya hecha y no es necesario renovarla como ocurre en las actuaciones de reforma interior. Es deber de los propietarios ceder las dotaciones que son necesarias por el cambio de uso o el incremento de la edificabilidad así como la parte correspondiente del incremento del aprovechamiento lucrativo. Tampoco este tipo de actuaciones plantea pues un problema de equidistribución de beneficios y cargas.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antecedentes consideraciones cobran relevancia en la medida en que son indicativas de que el precepto cuestionado no ha excluido la aplicación de la legislación urbanística general (estatal y autonómica). Lo relevante desde la perspectiva del control abstracto en que consiste el enjuiciamiento de la constitucionalidad de las leyes es que, frente a lo razonado por el promotor de la cuestión, nada hay en el precepto impugnado que permita afirmar que los planes o programas de modernización no están sujetos a la legislación básica estatal, en general, ni al principio de equidistribución de beneficios y cargas, en particular. El art. 15 de la Ley 6/2009 no impide la aplicación de tal legislación por lo que en modo alguno puede interpretarse que haya quedado excluida.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este caso, tal como sugieren las alegaciones de la Fiscal General del Estado, la solución del problema de si el plan de modernización aprobado por el Decreto 90/2012 incumple el principio de equidistribución de cargas y beneficios, corresponde, no a este Tribunal, sino al Superior de Justicia de Canarias. Habrá de afrontarlo al resolver el recurso contencioso-administrativo formulado en el procedimiento judicial a quo. La infracción en que pudiera eventualmente incurrir el plan en modo alguno puede redirigirse contra el precepto cuestionado. No está de más recordar que la equidistribución, esto es, el reparto igualitario de los beneficios y cargas derivados de la ejecución del planeamiento, no aspira a lograr una igualdad suprema, sino que es un intento de igualar en la medida establecida por la Ley. No hay equidistribución de beneficios y cargas entre distintas clases de suelo; tampoco tiene que haberla necesariamente entre sectores distintos de la misma clase de suelo, ni siquiera entre los propietarios afectados por el mismo plan, pero incluidos en diferentes ámbitos o unidades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pues descartar que el artículo 15 incurra en arbitrariedad por permitir que los planes de modernización desarrollen proyectos de sustitución, rehabilitación o mejora en contra de las determinaciones del planeamiento vigente (apartado 3), obligando a los municipios a incorporarlo en los instrumentos urbanísticos correspondientes (apartado 4). Este Tribunal ha descartado recientemente que incurran en inconstitucionalidad normas autonómicas similares, que también hacen valer intereses supramunicipales para centralizar en la Administración autonómica la elaboración de determinados planes con previsión de que a ellos habrá de adaptarse el planeamiento urbanístico municipal [STC 57/2015, de 18 de marzo, FJ 18, letras a) y d)]. Puede por ello excluirse también que el precepto cuestionado vulnere el principio de interdicción de la arbitrariedad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4242-2015.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