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 La Mancha, de 28 de noviembre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23 de octubre de 2014, de la misma Sala y Sección del Tribunal Supremo, que desestimó el incidente de nulidad de actuaciones promovido contra el citado Auto de 3 de abril. La demanda les atribuye la vulneración de los derechos a la tutela judicial efectiva (art. 24.1 CE) y a un proceso con todas las garantías (art. 24.2 CE), por exceso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de la demandante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Primera de la Sala de lo Contencioso-Administrativo del Tribunal Superior de Justicia de Castilla-La Mancha, dictó Sentencia el 28 de noviembre de 2011 estimando el recurso contencioso-administrativo núm. 735-2007, promovido por la mercantil Miratorre, S.A., “contra la resolución de fecha 26 de marzo de 2007, de la Consejería de Vivienda y Urbanismo por la que se aprueba definitivamente el Plan de Ordenación Municipal de Toledo, el cual se declara contrario a derecho y se anula”.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ratio decidendi de esta Sentencia es la misma que ya había empleado la Sala en Sentencia de 26 de julio de 2011 para estimar el recurso contencioso-administrativo núm. 556-2007, interpuesto por otros interesados contra el mismo plan de ordenación municipal de Toledo. En síntesis, tanto en aquel como en este caso la Sala de instancia aprecia que el plan debía ser sometido a un segundo trámite de información pública, dadas las sustanciales alteraciones introducidas en su texto tras las alegaciones recibidas en el (único) trámite de información pública abierto al efecto. Con aplicación de doctrina precedente de la Sala Tercera del Tribunal Supremo, señala la Sala de instancia que a esta exigencia de nuevo trámite de información no obsta el tenor del art. 36.2 a) del texto refundido de la Ley de ordenación del territorio y de la actividad urbanística de Castilla-La Mancha (Decreto Legislativo 1/12004, de 28 de diciembre), precepto que expresamente dispensa de abrir nuevo trámite en tal circunstancia, resultando sin embargo el mismo inconstitucional, por oponerse a lo previsto por la norma básica del Estado en la materia, el art. 6.1 de la Ley 6/1998, de 13 de abril, sobre el régimen del suelo y valoraciones, todos ellos entonces vigentes, afirmando la Sala de instancia que procedía dejar de aplicar la norma autonómica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Sentencia de 28 de noviembre de 2011 se interpuso recurso de casación por el Ayuntamiento de Toledo (núm. 239-2012), dictando la Sección Primera de la Sala de lo Contencioso-Administrativo del Tribunal Supremo, Auto de 3 de abril de 2014 por el que acuerda: “declarar la pérdida sobrevenida de objeto de los recursos de casación interpuestos en el rollo 239/2012 por la Junta de Comunidades de Castilla-La Mancha y por el Ayuntamiento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el Auto en su razonamiento jurídico segundo, que dada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la antedicha Sentencia del Tribunal Superior de Justicia de 26 de julio de 2011,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termina el razonamiento jurídico tercero, concluyendo que “los presentes recursos de casación han quedado privados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23 de octubre de 2014 en desestimación de lo pedido, trasladando para ello los argumentos ya vertidos en su Auto de 25 de julio de 2014, por el que había desestimado a su vez el incidente de nulidad instado contra la referida Sentencia de 27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al considerarla inconstitucional, sin plantear antes cuestión del art. 163 CE ante este Tribunal Constitucional con el fin de que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tercero digo” en la misma demanda, se solicitó la suspensión de los efectos de las resoluciones judiciales recurridas en amparo. Con cita del art. 56.2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que la suspensión viene exigida por los intereses generales, prevalentes éstos frente al exclusivo interés particular de la mercantil actora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7 de julio de 2015, se acordó la inadmisión del recurso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presentó escrito registrado el 22 de septiembre de 2015, afirmando que si bien no recurrió la providencia en el plazo de tres días del art. 50.3 LOTC, lo que supuso su firmeza, no obstante solicita se reconsidere esa decisión dado que el objeto del presente recurso resulta coincidente con el del recurso de amparo núm. 6011-2014, interpuesto por la misma entidad territorial y admitido a trámite. Solicitud a la que se adhirió el Ayuntamiento recurrente, por escrito de su representación procesal registrado el 30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la Sección Cuarta de este Tribunal dictó Auto el 1 de octubre de 2015 por el que, constatando error material en la providencia de 7 de julio anterior, dejó ésta sin efecto, dado que el objeto del recurso se extendía a la Sentencia de la Sección Primera de la Sala de lo Contencioso-Administrativo del Tribunal Superior de Justicia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de ello, la Sección examinó de nuevo el presente recurso de amparo, dictando providencia con fecha 5 de octubre de 2015 por la que acordó su admisión a trámite,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propio día 5 de octubre de 2015, la Sección Cuarta de este Tribunal dictó otra providencia, acordando “formar con la precedente fotocopia, la oportuna pieza para la tramitación del incidente sobre suspensión”, concediendo plazo común de tres días a la entidad recurrente y al Ministerio Fiscal, ex art. 56.4 LOTC,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14 de octubre de 2015, la representación procesal de la recurrente mantuvo la petición de suspensión de los efectos de las resoluciones judiciales impugnadas, afirmando que ésta resulta procedente “[m]ás aún, si cabe, tras la reciente STC, Sala Primera, de 21 de septiembre de 2015 (recurso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fumus boni iuris justificativo de la medida de suspensión, en línea con lo afirmado en similar sentido por la doctrina constitucional en materia de recursos de inconstitucionalidad, con cita de los AATC 243/1993 y 78/1987.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plan de ordenación municipal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el Hospital General de Toledo; y zonas de equipamiento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reitera la invocación hecha en la demanda al art. 30 LOTC, por cuanto de haberse planteado la cuestión de inconstitucionalidad no hubiera supuesto la suspensión de la vigencia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16 de octubre de 2015 tuvo entrada en el Registro General de este Tribunal, escrito del Fiscal por el que interesa “denegar la suspensión … sin perjuicio de que por el Tribunal Constitucional se pondere la sentencia de 21 de septiembre de 2015 a los efectos de acordar de oficio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formula una primera conclusión y es que: “dado que se produce una identidad de alegaciones de suspensión con el recurso de amparo núm. 6011-2014, debe desestimarse la petición de suspensión interesada en el presente recurso por los mismos argumentos del Auto de 6 de julio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a continuación el escrito de alegaciones toma en cuenta que la Sala Primera de este Tribunal, con fecha 21 de septiembre de 2015, dictó Sentencia estimatoria en aquel recurso de amparo, declarando la nulidad tanto de la Sentencia del Tribunal Superior de Justicia de Castilla-La Mancha que acordaba la nulidad del plan de ordenación municipal, como de las resoluciones dictadas en casación por el Tribunal Supremo. Atendido que la Sentencia del Tribunal Superior de Justicia impugnada en este amparo núm. 115-2015, resulta “sustancialmente idéntica a la sentencia de la misma Sala de 26 de julio de 2011”, entiende el Fiscal que “no se puede ignorar la nueva realidad jurídica derivada del fallo de este Alto Tribunal que anula dichas resoluciones”, de modo que el pronunciamiento de la referida Sentencia de instancia que aquí se cuestiona, supone “una realidad jurídica discrepante de la generada por el fallo de este Alto Tribunal”, “creándose una situación contradictoria sobre la validez o nulidad del Plan”; dicotomía que a su parecer “genera un riesgo y daño actual para un principio constitucional como el de la seguridad jurídica, art. 9.3 CE”. Y añade que “aun cuando no quepa hablar de un posible daño irreparable de no acordarse la suspensión de la ejecución de las resoluciones impugnadas, existiría un interés público en que la realidad jurídica que surge a partir del momento en que se dicta la sentencia de 21 de septiembre de 2015 del Tribunal Constitucional sea respetada”.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cita por último el art. 56.2 LOTC, sobre la posibilidad de oficio del Tribunal para acordar la suspensión, de lo que se deduce que éste tiene la posibilidad de ponderar circunstancias no alegadas “y más cuando es un nuevo hecho que no ha podido ser considerado por el demandante de amparo” —se entiende que se refiere en este caso a la STC 195/2015, de 21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solicita en un otrosí digo de su escrito de demanda la suspensión de los efectos ejecutivos de las resoluciones judiciales impugnadas en el presente recurso, las cuales, como ya se expuso en los antecedentes, son la Sentencia de la Sección Primera de la Sala de lo Contencioso-Administrativo del Tribunal Superior de Justicia de Castilla La Mancha, de 28 de noviembre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23 de octubre de 2014, que desestima el incidente de nulidad de actuaciones promovido por la misma parte procesal, contra el Auto que acaba de indicarse. Con posterioridad y según se ha dejado expuesto, una vez admitido a trámite este recurso de amparo y ordenado por la Sección Cuarta de este Tribunal la apertura de pieza separada de suspensión, la parte demandante ha presentado escrito de alegaciones en el que amplían las formuladas inicialmente, de un lado aludiendo al dictado de la STC 195/2015,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estructurada la pretensión de suspensión de las resoluciones judiciales recurridas, conviene seguir en su respuesta el mismo orden con el que han sido presentadas a esta Sala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hacer nuestras las afirmaciones realizadas por la Sala Primera de este Tribunal, en el ATC 117/2015, de 6 de julio, por el que se acordó denegar la suspensión solicitada en aquel recurso de amparo núm.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(ex art. 57 LOTC), que satisfagan el presupuesto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adelantado, esta Sala considera correctas y asume como propias las razones dadas en el mencionado ATC 117/2015, lo que arroja como primera conclusión, a los efectos de la presente pieza separada, de rechazar los argumentos alegados en el “otrosí tercero digo” de la demanda de amparo para justificar la medida de suspensión de las resoluciones judiciales aquí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referirnos, en segundo y último lugar, a las alegaciones adicionales realizadas por el Ayuntamiento de Toledo en el trámite del art. 56.4 LOTC, abierto dentro de este procedimiento incidental, y que apoya al menos en parte el Ministerio Fiscal. Se adelanta, sin embargo, que las mismas no permiten alcanzar un resultado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presente,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cabe apreciar la existencia de una circunstancia nueva susceptible de modificar el criterio adoptado por el ATC 117/2015, de 6 de julio, para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Otro tanto ha de decirse, por último, en cuanto a las aseveraciones que se formulan por el ayuntamiento recurrente en su escrito del art. 56.4 LOTC, intentando concretar los perjuicios que ocasiona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ocasionaría, a juicio del recurrente, una eventual aplicación del plan anterior en esos ámbitos, mientras se tramita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una disposición aplicable dentro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