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agosto de 2015, la Sala de lo Contencioso-Administrativo del Tribunal Superior de Justicia de Cantabria remitió testimonio del Auto de 21 de julio de 2015, por el que se acordó plantear cuestión de inconstitucionalidad en relación con la Ley del Parlamento de Cantabria 4/2013, de 20 de junio, por la que se modifica la Ley 2/2001, de 25 de junio, de ordenación territorial y del régimen urbanístico del suelo de Cantabria, y en concreto del art. 65 bis.1 en cuanto dice “órdenes de demolición judiciales”, por posible vulneración de los arts. 24.2, 117.3 y 149.1.6 CE. Junto a esta resolución se acompaña copia testimoniada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28 de mayo de 2007, la Sala de lo Contencioso-Administrativo del Tribunal Superior de Justicia de Cantabria estimó el recurso contencioso-administrativo núm. 1993-1998 interpuesto por ARCA contra el acuerdo de la comisión de gobierno del Ayuntamiento de Argoños de 4 de noviembre de 1997, por el que se concedió licencia a ATC Urbanizaciones, S.L., para la construcción de 91 viviendas en la finca La Llana de dicho municipio, y declaró la nulidad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 referida Sentencia. La parte ejecutada planteó incidente procesal de los previstos en el art. 109 de la Ley reguladora de la jurisdicción contencioso-administrativa (LJCA), por lo que se dio traslado a las partes para que formulasen las alegaciones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3 de junio de 2015 la Sala de lo Contencioso-Administrativo del Tribunal Superior de Justicia de Cantabria, de conformidad con lo dispuesto en el art. 35.2 de la Ley Orgánica del Tribunal Constitucional (LOTC), otorgó trámite de audiencia a las partes y al Ministerio Fiscal sobre la pertinencia de plantear cuestión de inconstitucionalidad en relación con el art. 65 bis de la Ley 2/2001 de 25 de junio, de ordenación territorial y del régimen urbanístico del suelo de Cantabria, modificado por la Ley 4/2013, por si este precepto pudiera incurrir en una infracción del art. 149.1.6 CE y vulnerar por ello las competencias del Estado en materia de legislación procesal al introducir una causa de suspensión en el procedimiento de ejecución judicial, por si pudiera ser contrario al derecho a la tutela judicial efectiva, en su vertiente de derecho a la ejecución de sentencias, del art. 24.2 CE, o por si pudiera vulnerar el art. 117.3 CE por incidir en la competencia exclusiva de los jueces y tribunales para juzgar y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Sala de lo Contencioso-Administrativo del Tribunal Superior de Justicia de Cantabria, mediante Auto de 21 de julio de 2015,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órdenes de demolición judiciales, puede ser lesivo del art. 149.1.6 CE, del derecho a la ejecución de sentencias que garantiza el art. 24 CE y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2015, el Pleno, a propuesta de la Sección Segunda,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registrado el 17 de noviembre de 2015 solicitando la estimación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la Ley no pondera los intereses en juego ni calibra si la finalidad de la norma enjuiciada es proporcional al sacrificio que genera en el derecho fundamental a la tutela judicial efectiva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General del Estado comparece mediante escrito registrado el 20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está disponiendo la paralización de las ejecuciones ordenadas por los jueces y tribunales consistentes en el derribo de las edificaciones ilegalmente ejecutadas, con lo que está involucrándose en una función estrictamente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de Cantabria formuló sus alegaciones por escrito registrado el 23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el Gobierno de Cantabria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Gobierno de Cantabria considera que el art.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 Cantabria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supuesto el Gobierno de Cantabria afirma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del Parlamento de Cantabria presenta su escrito de alegaciones el 23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de la Ley del Parlamento de Cantabria 2/2001, de 25 de junio, de ordenación territorial y de régimen urbanístico del suelo de Cantabria, introducido por la Ley 4/2013, de 20 de junio, en la parte del mismo que se refiere a las órdenes de demolición judiciales. El precepto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4774-2015,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