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octubre de 2015, el Juzgado de lo Contencioso-Administrativo núm. 1 de Santander remitió testimonio del Auto de 13 de octubre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Sentencias del Juzgado promotor de 21 de noviembre de 2000 (dos), 28 de noviembre de 2000 y 9 de febrero de 2004, dictadas en los procedimientos ordinarios núms. 185-1999, 183-1999, 184-1999 y 181-1999, se anularon licencias urbanísticas concedidas por el Ayuntamiento de Argoños en la urbanización “Las Llamas” por no respetarse en todos esos casos la obligación de adaptar las construcciones al ambiente en que estuviesen situadas contenida en el art. 138 del texto refundido de la Ley del suelo aprobado por Real Decreto Legislativo 1/1992, de 26 de junio. Todos esos procedimientos fueron instados por la asociación para la defensa de los recursos naturales de Cantabria (ARCA), y todas esas Sentencias ganaron firmeza como consecuencia de las desestimación de los recursos de apelación interpuestos contra ellas por Sentencias de distintas fechas dictadas por la Sala de lo Contencioso-Administrativo del Tribunal Superior de Justicia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recurrente instó la ejecución de las referidas Sentencias, acordándose por el Juzgado la acumulación de todos esos incidentes de ejecución en uno solo, correspondiente al procedimiento ordinario núm. 185-1999.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seno del referido incidente, el Ayuntamiento de Argoños presentó escrito solicitando al amparo del art. 105 de la Ley reguladora de la jurisdicción contencioso-administrativa (LJCA) que el Juzgado acordara la inejecutabilidad de las Sentencias recaídas.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6 de abril de 2015 se dio traslado a las partes personadas para que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la vista de las alegaciones efectuadas el Juzgado, mediante providencia de 20 de julio de 2015, acordó en virtud del art. 35.2 de la Ley Orgánica del Tribunal Constitucional (LOTC), con suspensión del plazo para dictar resolución, oír a las partes por posible inconstitucionalidad de la normativa autonómica. En concreto, dudaba de la constitucionalidad del art. art. 65 bis.1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Oídas las partes personadas en el proceso, el Juzgado acordó mediante Auto de 13 de octubre de 2015 plantear cuestión de inconstitucionalidad en relación con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ordenes de demolición judiciales, puede ser contrario al art. 149.1.6 CE, al derecho a la ejecución de sentencias que garantiza el art. 24 CE y 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la suspensión de la ejecución de sentencias anulatorias de licencias prevista en la Ley 2/2001, de 25 de junio, ya fue declarada inconstitucional en la STC 92/2013, de 22 de abril. Para él, la suspensión ahora regulada, aunque limitada a cuatro años, tiene el mismo efecto: hace que el ayuntamiento tenga en sus manos la posibilidad de frustrar la efectividad de la ejecución del fallo, entrando la disposición en conflicto con el art. 117.3 CE y 105.1 LJCA, que expresamente prohíbe la suspensión de la ejecución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finalmente que pueda oponerse que la causa de la inejecución sea el acto administrativo, pues este se ampara en la norma cuestionada, alejando sine díe la ejecución de la Sentencia firme y anticipando la eficacia de una norma que no es tal. Considera que tampoco se trata del otorgamiento de una nueva licencia, tras la anulada, sino de una licencia provisional, cuyo encaje de legalidad se debe efectuar con un proyecto de norma exento de control judicial al no tratarse de un acto definitivo, lo que supone dejar en manos del ejecutado la ejecución de sentencias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al Juzgado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2015, el Pleno, a propuesta de la Sección Cuarta, acordó admitir a trámite la cuestión de inconstitucionalidad, deferir su conocimiento a la Sala Segunda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que tuvo entrada el 24 de noviembre de 2015, comunicó que la Mesa de la Cámara había acordado personarse en el proceso, ofreciendo su colaboración a los efectos del art. 88.1 LOTC. Lo mismo hizo el Presidente del Congreso de los Diputados mediante escrito que tuvo entrada el siguiente día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3 de diciembre de 2015 solicitando la estimación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artículo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artículo 24.1 en relación con los artículos 117.3 y 118,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9 de diciembre de 2015 el Letrado del Gobierno de Cantabria presentó un escrito solicitando que se acuerde la terminación por pérdida sobrevenida de objeto de la presente cuestión de inconstitucionalidad al haber sido ya anulado y expulsado del ordenamiento el inciso cuestionado por la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mismo sentido, la Fiscal General del Estado solicitó por escrito registrado el 21 de diciembre de 2015 que se dicte resolución por la que se declare la pérdida sobrevenida de objeto de la presente cuestión de inconstitucionalidad, al haber sido ya anulado el inciso cuestionado por la citada STC 254/2015.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1 de Santander en relación con el art. 65 bis.1 de la Ley 2/2001, de 25 de junio, de ordenación territorial y del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5964-2015,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