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18 de enero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28 de abril de 2015, el Procurador de los Tribunales don Ignacio Melchor de Oruña, en nombre y representación de don Ignacio Berenguer Sánchez y don Ángel Berenguer Sánchez, interpuso demanda de amparo contra la Sentencia núm. 147/2015, de 17 de marzo, de la Sala de lo Penal del Tribunal Supremo, que estimó el recurso de casación formalizado por el Ministerio Fiscal, por infracción de ley y de precepto constitucional, contra la Sentencia de 11 de abril de 2014 de la Sección Quinta de la Audiencia Provincial de Madrid, en causa rollo núm. 16-2012 seguida por delito contra la salud pública, y declaró, en su virtud, la nulidad de la mencionada Sentencia con retroacción de las actuaciones a la fase de deliberación subsiguiente a la celebración del juicio, para que, por los mismos Magistrados que la dictaron, se delibere y redacte una nueva, partiendo de la regularidad de la cadena de custodia y de la validez de los informes periciales analíticos emitidos sobre las distintas sustancias incautadas, en contra de lo que apreció en su momento la Sección Quinta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aducen que la Sentencia impugnada en amparo lesiona el derecho a la tutela judicial efectiva en relación con el principio de inmediación y el carácter público del proceso y el derecho a la presunción de inocencia (art. 24.2 CE), pues existieron en la cadena de custodia irregularidades relevantes, sin que haya quedado acreditado que la sustancia enviada al laboratorio para su análisis fuera la incautada, más aún si se tiene en cuenta la falta de ratificación del atestado policial en el plenario.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la demanda de amparo solicita la suspensión de la ejecución de la Sentencia de 17 de marzo de 2015, ya que lo contrario implicaría la continuación del procedimiento ante la Sección Quinta de la Audiencia Provincial de Madrid creando “una desmesurada litigiosidad y perjuicio a los 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30 de noviembre de 2015, la Sección Cuarta de este Tribunal acordó admitir a trámite el recurso de amparo.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4 de diciembre de 2015, los recurrentes presentaron en el Registro General de este Tribunal su escrito de alegaciones. Sostienen que una eventual condena produciría un daño irreparable, dada la duración de las penas privativas de libertad previstas para el delito por el que son acusados, resultando que, por el contrario, la suspensión solicitada no ocasiona lesión específica y grave de los intereses generales ni de los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17 de diciembre de 2015, el Ministerio Fiscal presentó su escrito de alegaciones, oponiéndose a la suspensión solicitada. Destaca que la Sentencia de 17 de marzo de 2015, dictada por la Sala de lo Penal del Tribunal Supremo, no impone ninguna pena, “limitándose a acordar la nulidad del procedimiento y su retroacción al momento en que la Audiencia Provincial de Madrid dictó sentencia, que lo fue absolutoria”. En consecuencia, concluye, no puede hablarse “de que la situación actual pueda provocar un daño irreparable a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esta previsión legal, el Tribunal ha declarado que cuando el amparo constitucional se solicita respecto de resoluciones judiciales firmes, la suspensión de su ejecución entraña en sí misma una perturbación de la función jurisdiccional que comprende la potestad de hacer ejecutar lo juzgado (art. 117.3 CE), por lo que esta medida cautelar resulta pertinente únicamente si la ejecución del fallo causa al solicitante de amparo un perjuicio irreparable, debiendo entenderse por tal aquel que provoque que el restablecimiento del recurrente en los derechos fundamentales cuya vulneración denuncia sea tardío e impida definitivamente que la restauración sea efectiva (por citar el más reciente, ATC 117/2015, de 6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establecido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(por ejemplo, ATC 95/2015, de 25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se solicita la suspensión de la ejecución de una sentencia que retrotrae las actuaciones a la fase de deliberación subsiguiente a la celebración del juicio ante la Sección Quinta de la Audiencia Provincial de Madrid, para que se dicte nueva sentencia partiendo de la regularidad de la cadena de custodia y de la validez de los informes analíticos emitidos sobre las diferentes sustancias incautadas, en contra de lo que dispuso la Sentencia de 11 de abril de 2014, en causa rollo núm. 16-2012 seguida por delito contra la salud pública, anulada por el pronunciamiento judicial que ahora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ello, como afirma con rigor el Ministerio Fiscal, no sólo no existe pena alguna que haya sido impuesta en esta fecha, sino que ni siquiera cabe presumir que la decisión final del proceso sea condenatoria, toda vez que la Audiencia Provincial deberá decidir a la vista de la valoración conjunta de todo el acervo probatorio, partiendo, claro es, de que no hubo ruptura de la cadena de custodia, como ha establecido la Sentencia de la Sala Segunda del Alto Tribunal. En esas circunstancias, con independencia de lo que deba decirse en nuestra Sentencia sobre las quejas formuladas, no se advierte aquí qué concretos perjuicios podría acarrear la ejecución de la Sentencia del Tribunal Supremo, con la continuidad necesaria del procedimiento, ni tampoco, por lo tanto, la irreparabilidad de los mismos, pues no puede aceptarse que una eventual condena futura a los recurrentes —que de darse sería el resultado del propio enjuiciamiento— constituya en sí misma considerada un perjuicio irreparable y real que deba evitarse en esta fase, al resultar, antes bien, un efecto solo potencial y futuro y una hipótesis, en realidad, expresiva de un temor de los recurrentes que no hace perder al amparo su finalidad y que no impide definitivamente, si procediera, que la restauración de sus derechos fundamentales pueda ser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