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marzo de 2015 tuvo entrada en el Registro General de este Tribunal un oficio de la Sección Segunda de la Sala de lo Contencioso-Administrativo del Tribunal Superior de Justicia de Castilla-La Mancha, al que se acompaña, junto al testimonio del procedimiento ordinario núm. 114-2011, el Auto de 2 de febrero de 2015,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persona física, propietaria de una finca afectada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 finca, que se encontraban en situación de rústica.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15 de diciembre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los arts. 14 y 33.3 CE en cuanto se permite al resto de los propietarios realizar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prima facie,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consideró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2 de febrero de 2015,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acerca del art. 23 del Real Decreto Legislativo 2/2008 que la idea esencial de la STC 141/2014 es la de que no hay tacha posible de inconstitucionalidad en el hecho de que la Ley pueda establecer como sistema de valoración del suelo el de capitalización de rentas, pero la propia norma reconoce que, en ocasiones, ese criterio general puede no llegar a reflejar correctamente el valor del bien, de modo que el artículo 23.1 prevé una corrección de la valoración del suelo, pero en esa corrección establece un límite máximo del doble del valor hallado por capitalización, limite que la STC 141/2014 considera inconstitucional por carecer de base razonable. En el presente caso el órgano judicial considera que, lejos del planteamiento abstracto, concurren circunstancias que permiten apreciar la inconstitucionalidad de la Ley en su aplicación concreta. Así, indica que el Jurado regional de valoraciones valoró el suelo haciendo aplicación del art. 23.1.a) del Real Decreto Legislativo 2/2008 y luego aplicó el art. 23.2, criterios aplicables a la valoración de suelo rustico. Para la sala era inapropiado utilizar tales criterios por cuanto se trataba, según consta en los autos, de “una bolsa de suelo rústico rodeada de suelo urbanizado industrial y residencial”, cuyo valor, en la memoria del proyecto singular, se estimaba en 25 E/m2.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que impide que se alcance el valor real que deriva de la proximidad del suelo a entornos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servicios, no alcance la categoría valorativa de “suelo urbanizado” y siga en la de “suelo rural”. Y concluye que “la igualación de todas las anteriores situaciones bajo una misma categoría implica el reconocimiento, en determinados casos, de un complemento indemnizatorio que deriva del art. 25 del Real Decreto Legislativo 2/2008, complemento que no es suficiente atendiendo a las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2015, la Sección Primera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